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160" w:before="300" w:line="264" w:lineRule="auto"/>
        <w:jc w:val="both"/>
        <w:rPr>
          <w:color w:val="333333"/>
          <w:sz w:val="21"/>
          <w:szCs w:val="21"/>
        </w:rPr>
      </w:pPr>
      <w:bookmarkStart w:colFirst="0" w:colLast="0" w:name="_rspdpr2gv7tr" w:id="0"/>
      <w:bookmarkEnd w:id="0"/>
      <w:r w:rsidDel="00000000" w:rsidR="00000000" w:rsidRPr="00000000">
        <w:rPr>
          <w:sz w:val="45"/>
          <w:szCs w:val="45"/>
          <w:highlight w:val="white"/>
          <w:rtl w:val="0"/>
        </w:rPr>
        <w:t xml:space="preserve">The 2020 United Nations High Level Political Forum on Sustainable Development Goals Primer</w:t>
      </w:r>
      <w:r w:rsidDel="00000000" w:rsidR="00000000" w:rsidRPr="00000000">
        <w:rPr>
          <w:rtl w:val="0"/>
        </w:rPr>
      </w:r>
    </w:p>
    <w:p w:rsidR="00000000" w:rsidDel="00000000" w:rsidP="00000000" w:rsidRDefault="00000000" w:rsidRPr="00000000" w14:paraId="00000002">
      <w:pPr>
        <w:pStyle w:val="Heading3"/>
        <w:keepNext w:val="0"/>
        <w:keepLines w:val="0"/>
        <w:shd w:fill="ffffff" w:val="clear"/>
        <w:spacing w:after="160" w:before="300" w:line="264" w:lineRule="auto"/>
        <w:jc w:val="both"/>
        <w:rPr>
          <w:color w:val="a63212"/>
          <w:sz w:val="36"/>
          <w:szCs w:val="36"/>
        </w:rPr>
      </w:pPr>
      <w:bookmarkStart w:colFirst="0" w:colLast="0" w:name="_og1qmxy10zf" w:id="1"/>
      <w:bookmarkEnd w:id="1"/>
      <w:r w:rsidDel="00000000" w:rsidR="00000000" w:rsidRPr="00000000">
        <w:rPr>
          <w:color w:val="a63212"/>
          <w:sz w:val="36"/>
          <w:szCs w:val="36"/>
          <w:rtl w:val="0"/>
        </w:rPr>
        <w:t xml:space="preserve">The 2020 United Nations High Level Political Forum on Sustainable Development Goals</w:t>
      </w:r>
    </w:p>
    <w:p w:rsidR="00000000" w:rsidDel="00000000" w:rsidP="00000000" w:rsidRDefault="00000000" w:rsidRPr="00000000" w14:paraId="00000003">
      <w:pPr>
        <w:shd w:fill="ffffff" w:val="clear"/>
        <w:spacing w:after="160" w:lineRule="auto"/>
        <w:jc w:val="both"/>
        <w:rPr>
          <w:color w:val="428bca"/>
          <w:sz w:val="21"/>
          <w:szCs w:val="21"/>
        </w:rPr>
      </w:pPr>
      <w:r w:rsidDel="00000000" w:rsidR="00000000" w:rsidRPr="00000000">
        <w:rPr>
          <w:i w:val="1"/>
          <w:color w:val="333333"/>
          <w:sz w:val="21"/>
          <w:szCs w:val="21"/>
          <w:rtl w:val="0"/>
        </w:rPr>
        <w:t xml:space="preserve">A short primer to help activists working on </w:t>
      </w:r>
      <w:r w:rsidDel="00000000" w:rsidR="00000000" w:rsidRPr="00000000">
        <w:rPr>
          <w:i w:val="1"/>
          <w:color w:val="a63212"/>
          <w:sz w:val="21"/>
          <w:szCs w:val="21"/>
          <w:rtl w:val="0"/>
        </w:rPr>
        <w:t xml:space="preserve">Sexual Orientation and Gender Identity and Expression and Sex Characteristics</w:t>
      </w:r>
      <w:r w:rsidDel="00000000" w:rsidR="00000000" w:rsidRPr="00000000">
        <w:rPr>
          <w:i w:val="1"/>
          <w:color w:val="333333"/>
          <w:sz w:val="21"/>
          <w:szCs w:val="21"/>
          <w:rtl w:val="0"/>
        </w:rPr>
        <w:t xml:space="preserve"> to make the most of your experience</w:t>
      </w:r>
      <w:r w:rsidDel="00000000" w:rsidR="00000000" w:rsidRPr="00000000">
        <w:rPr>
          <w:rtl w:val="0"/>
        </w:rPr>
      </w:r>
    </w:p>
    <w:p w:rsidR="00000000" w:rsidDel="00000000" w:rsidP="00000000" w:rsidRDefault="00000000" w:rsidRPr="00000000" w14:paraId="00000004">
      <w:pPr>
        <w:shd w:fill="ffffff" w:val="clear"/>
        <w:jc w:val="both"/>
        <w:rPr>
          <w:color w:val="333333"/>
          <w:sz w:val="21"/>
          <w:szCs w:val="21"/>
        </w:rPr>
      </w:pPr>
      <w:r w:rsidDel="00000000" w:rsidR="00000000" w:rsidRPr="00000000">
        <w:rPr>
          <w:rtl w:val="0"/>
        </w:rPr>
      </w:r>
    </w:p>
    <w:p w:rsidR="00000000" w:rsidDel="00000000" w:rsidP="00000000" w:rsidRDefault="00000000" w:rsidRPr="00000000" w14:paraId="00000005">
      <w:pPr>
        <w:shd w:fill="ffffff" w:val="clear"/>
        <w:jc w:val="both"/>
        <w:rPr>
          <w:color w:val="333333"/>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shd w:fill="ffffff" w:val="clear"/>
        <w:spacing w:after="160" w:lineRule="auto"/>
        <w:jc w:val="both"/>
        <w:rPr>
          <w:color w:val="333333"/>
          <w:sz w:val="21"/>
          <w:szCs w:val="21"/>
        </w:rPr>
      </w:pPr>
      <w:r w:rsidDel="00000000" w:rsidR="00000000" w:rsidRPr="00000000">
        <w:rPr>
          <w:color w:val="a63212"/>
          <w:sz w:val="30"/>
          <w:szCs w:val="30"/>
          <w:rtl w:val="0"/>
        </w:rPr>
        <w:t xml:space="preserve">What?</w:t>
      </w:r>
      <w:r w:rsidDel="00000000" w:rsidR="00000000" w:rsidRPr="00000000">
        <w:rPr>
          <w:color w:val="333333"/>
          <w:sz w:val="21"/>
          <w:szCs w:val="21"/>
          <w:rtl w:val="0"/>
        </w:rPr>
        <w:t xml:space="preserve"> The High Level Political Forum (HLPF) is a United Nations (UN) conference that meets annually under the UN Economic and Social Council (ECOSOC) and every four years at the UN General Assembly at UN headquarters in New York. It reviews and follows up on the 2030 Agenda on Sustainable Development. The HLPF is tasked with tracking the international implementation and progress towards the Sustainable Development Goals (SDGs). Although SDGs are rooted in and interlinked with human rights, it is a development space with its own language and advocacy entry points as such.</w:t>
      </w:r>
    </w:p>
    <w:p w:rsidR="00000000" w:rsidDel="00000000" w:rsidP="00000000" w:rsidRDefault="00000000" w:rsidRPr="00000000" w14:paraId="00000007">
      <w:pPr>
        <w:shd w:fill="ffffff" w:val="clear"/>
        <w:spacing w:after="160" w:lineRule="auto"/>
        <w:jc w:val="both"/>
        <w:rPr>
          <w:color w:val="333333"/>
          <w:sz w:val="21"/>
          <w:szCs w:val="21"/>
        </w:rPr>
      </w:pPr>
      <w:r w:rsidDel="00000000" w:rsidR="00000000" w:rsidRPr="00000000">
        <w:rPr>
          <w:color w:val="333333"/>
          <w:sz w:val="21"/>
          <w:szCs w:val="21"/>
          <w:rtl w:val="0"/>
        </w:rPr>
        <w:t xml:space="preserve">The forum brings together representatives from UN Member States (sometimes referred to as countries or States), civil society organizations and UN entities to discuss progress and best practice, and to produce a Ministerial Declaration regarding the progress on an annually-chosen theme. This year’s theme is:</w:t>
      </w:r>
    </w:p>
    <w:p w:rsidR="00000000" w:rsidDel="00000000" w:rsidP="00000000" w:rsidRDefault="00000000" w:rsidRPr="00000000" w14:paraId="00000008">
      <w:pPr>
        <w:shd w:fill="ffffff" w:val="clear"/>
        <w:spacing w:after="160" w:lineRule="auto"/>
        <w:jc w:val="center"/>
        <w:rPr>
          <w:i w:val="1"/>
          <w:color w:val="a63212"/>
          <w:sz w:val="30"/>
          <w:szCs w:val="30"/>
        </w:rPr>
      </w:pPr>
      <w:r w:rsidDel="00000000" w:rsidR="00000000" w:rsidRPr="00000000">
        <w:rPr>
          <w:i w:val="1"/>
          <w:color w:val="a63212"/>
          <w:sz w:val="30"/>
          <w:szCs w:val="30"/>
          <w:rtl w:val="0"/>
        </w:rPr>
        <w:t xml:space="preserve">“Accelerated action and transformative pathways: realizing the decade of action and delivery for sustainable development”</w:t>
      </w:r>
    </w:p>
    <w:p w:rsidR="00000000" w:rsidDel="00000000" w:rsidP="00000000" w:rsidRDefault="00000000" w:rsidRPr="00000000" w14:paraId="00000009">
      <w:pPr>
        <w:shd w:fill="ffffff" w:val="clear"/>
        <w:jc w:val="both"/>
        <w:rPr>
          <w:color w:val="333333"/>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0B">
      <w:pPr>
        <w:shd w:fill="ffffff" w:val="clear"/>
        <w:spacing w:after="160" w:lineRule="auto"/>
        <w:jc w:val="both"/>
        <w:rPr>
          <w:color w:val="a63212"/>
          <w:sz w:val="30"/>
          <w:szCs w:val="30"/>
        </w:rPr>
      </w:pPr>
      <w:r w:rsidDel="00000000" w:rsidR="00000000" w:rsidRPr="00000000">
        <w:rPr>
          <w:color w:val="a63212"/>
          <w:sz w:val="30"/>
          <w:szCs w:val="30"/>
          <w:rtl w:val="0"/>
        </w:rPr>
        <w:t xml:space="preserve">When?</w:t>
      </w:r>
      <w:r w:rsidDel="00000000" w:rsidR="00000000" w:rsidRPr="00000000">
        <w:rPr>
          <w:color w:val="333333"/>
          <w:sz w:val="21"/>
          <w:szCs w:val="21"/>
          <w:rtl w:val="0"/>
        </w:rPr>
        <w:t xml:space="preserve"> July 7</w:t>
      </w:r>
      <w:r w:rsidDel="00000000" w:rsidR="00000000" w:rsidRPr="00000000">
        <w:rPr>
          <w:color w:val="333333"/>
          <w:sz w:val="17"/>
          <w:szCs w:val="17"/>
          <w:rtl w:val="0"/>
        </w:rPr>
        <w:t xml:space="preserve">th</w:t>
      </w:r>
      <w:r w:rsidDel="00000000" w:rsidR="00000000" w:rsidRPr="00000000">
        <w:rPr>
          <w:color w:val="333333"/>
          <w:sz w:val="21"/>
          <w:szCs w:val="21"/>
          <w:rtl w:val="0"/>
        </w:rPr>
        <w:t xml:space="preserve"> - 16</w:t>
      </w:r>
      <w:r w:rsidDel="00000000" w:rsidR="00000000" w:rsidRPr="00000000">
        <w:rPr>
          <w:color w:val="333333"/>
          <w:sz w:val="17"/>
          <w:szCs w:val="17"/>
          <w:rtl w:val="0"/>
        </w:rPr>
        <w:t xml:space="preserve">th</w:t>
      </w:r>
      <w:r w:rsidDel="00000000" w:rsidR="00000000" w:rsidRPr="00000000">
        <w:rPr>
          <w:color w:val="333333"/>
          <w:sz w:val="21"/>
          <w:szCs w:val="21"/>
          <w:rtl w:val="0"/>
        </w:rPr>
        <w:t xml:space="preserve"> 2020</w:t>
      </w:r>
      <w:r w:rsidDel="00000000" w:rsidR="00000000" w:rsidRPr="00000000">
        <w:rPr>
          <w:rtl w:val="0"/>
        </w:rPr>
      </w:r>
    </w:p>
    <w:p w:rsidR="00000000" w:rsidDel="00000000" w:rsidP="00000000" w:rsidRDefault="00000000" w:rsidRPr="00000000" w14:paraId="0000000C">
      <w:pPr>
        <w:shd w:fill="ffffff" w:val="clear"/>
        <w:spacing w:after="160" w:lineRule="auto"/>
        <w:jc w:val="both"/>
        <w:rPr>
          <w:sz w:val="21"/>
          <w:szCs w:val="21"/>
        </w:rPr>
      </w:pPr>
      <w:r w:rsidDel="00000000" w:rsidR="00000000" w:rsidRPr="00000000">
        <w:rPr>
          <w:color w:val="a63212"/>
          <w:sz w:val="30"/>
          <w:szCs w:val="30"/>
          <w:rtl w:val="0"/>
        </w:rPr>
        <w:t xml:space="preserve">Where?</w:t>
      </w:r>
      <w:r w:rsidDel="00000000" w:rsidR="00000000" w:rsidRPr="00000000">
        <w:rPr>
          <w:color w:val="333333"/>
          <w:sz w:val="21"/>
          <w:szCs w:val="21"/>
          <w:rtl w:val="0"/>
        </w:rPr>
        <w:t xml:space="preserve"> </w:t>
      </w:r>
      <w:r w:rsidDel="00000000" w:rsidR="00000000" w:rsidRPr="00000000">
        <w:rPr>
          <w:sz w:val="21"/>
          <w:szCs w:val="21"/>
          <w:highlight w:val="white"/>
          <w:rtl w:val="0"/>
        </w:rPr>
        <w:t xml:space="preserve">In light of the ongoing COVID-19 pandemic and expected limitations on in-person meetings and international travel, </w:t>
      </w:r>
      <w:hyperlink r:id="rId6">
        <w:r w:rsidDel="00000000" w:rsidR="00000000" w:rsidRPr="00000000">
          <w:rPr>
            <w:sz w:val="21"/>
            <w:szCs w:val="21"/>
            <w:highlight w:val="white"/>
            <w:u w:val="single"/>
            <w:rtl w:val="0"/>
          </w:rPr>
          <w:t xml:space="preserve">HLPF 2020</w:t>
        </w:r>
      </w:hyperlink>
      <w:r w:rsidDel="00000000" w:rsidR="00000000" w:rsidRPr="00000000">
        <w:rPr>
          <w:sz w:val="21"/>
          <w:szCs w:val="21"/>
          <w:rtl w:val="0"/>
        </w:rPr>
        <w:t xml:space="preserve"> will be fully held online. </w:t>
      </w:r>
      <w:r w:rsidDel="00000000" w:rsidR="00000000" w:rsidRPr="00000000">
        <w:rPr>
          <w:rtl w:val="0"/>
        </w:rPr>
      </w:r>
    </w:p>
    <w:p w:rsidR="00000000" w:rsidDel="00000000" w:rsidP="00000000" w:rsidRDefault="00000000" w:rsidRPr="00000000" w14:paraId="0000000D">
      <w:pPr>
        <w:shd w:fill="ffffff" w:val="clear"/>
        <w:spacing w:after="160" w:lineRule="auto"/>
        <w:jc w:val="both"/>
        <w:rPr>
          <w:color w:val="333333"/>
          <w:sz w:val="21"/>
          <w:szCs w:val="21"/>
        </w:rPr>
      </w:pPr>
      <w:r w:rsidDel="00000000" w:rsidR="00000000" w:rsidRPr="00000000">
        <w:rPr>
          <w:rtl w:val="0"/>
        </w:rPr>
      </w:r>
    </w:p>
    <w:p w:rsidR="00000000" w:rsidDel="00000000" w:rsidP="00000000" w:rsidRDefault="00000000" w:rsidRPr="00000000" w14:paraId="0000000E">
      <w:pPr>
        <w:shd w:fill="ffffff" w:val="clear"/>
        <w:spacing w:after="160" w:lineRule="auto"/>
        <w:jc w:val="both"/>
        <w:rPr>
          <w:color w:val="333333"/>
          <w:sz w:val="20"/>
          <w:szCs w:val="20"/>
        </w:rPr>
      </w:pPr>
      <w:r w:rsidDel="00000000" w:rsidR="00000000" w:rsidRPr="00000000">
        <w:rPr>
          <w:color w:val="333333"/>
          <w:sz w:val="21"/>
          <w:szCs w:val="21"/>
          <w:rtl w:val="0"/>
        </w:rPr>
        <w:t xml:space="preserve">Click here to view this year’s </w:t>
      </w:r>
      <w:hyperlink r:id="rId7">
        <w:r w:rsidDel="00000000" w:rsidR="00000000" w:rsidRPr="00000000">
          <w:rPr>
            <w:color w:val="1155cc"/>
            <w:sz w:val="21"/>
            <w:szCs w:val="21"/>
            <w:u w:val="single"/>
            <w:rtl w:val="0"/>
          </w:rPr>
          <w:t xml:space="preserve">Programme for ECOSOC Integration Segment, High-Level Political Forum on Sustainable Development and the High-Level Segment of ECOSOC</w:t>
        </w:r>
      </w:hyperlink>
      <w:r w:rsidDel="00000000" w:rsidR="00000000" w:rsidRPr="00000000">
        <w:rPr>
          <w:rtl w:val="0"/>
        </w:rPr>
      </w:r>
    </w:p>
    <w:p w:rsidR="00000000" w:rsidDel="00000000" w:rsidP="00000000" w:rsidRDefault="00000000" w:rsidRPr="00000000" w14:paraId="0000000F">
      <w:pPr>
        <w:shd w:fill="ffffff" w:val="clear"/>
        <w:spacing w:after="160" w:lineRule="auto"/>
        <w:jc w:val="both"/>
        <w:rPr>
          <w:color w:val="333333"/>
          <w:sz w:val="21"/>
          <w:szCs w:val="21"/>
        </w:rPr>
      </w:pPr>
      <w:r w:rsidDel="00000000" w:rsidR="00000000" w:rsidRPr="00000000">
        <w:rPr>
          <w:color w:val="a63212"/>
          <w:sz w:val="30"/>
          <w:szCs w:val="30"/>
          <w:rtl w:val="0"/>
        </w:rPr>
        <w:t xml:space="preserve">Registration</w:t>
      </w:r>
      <w:r w:rsidDel="00000000" w:rsidR="00000000" w:rsidRPr="00000000">
        <w:rPr>
          <w:b w:val="1"/>
          <w:color w:val="4181c0"/>
          <w:sz w:val="20"/>
          <w:szCs w:val="20"/>
          <w:rtl w:val="0"/>
        </w:rPr>
        <w:t xml:space="preserve"> </w:t>
      </w:r>
      <w:r w:rsidDel="00000000" w:rsidR="00000000" w:rsidRPr="00000000">
        <w:rPr>
          <w:color w:val="333333"/>
          <w:sz w:val="21"/>
          <w:szCs w:val="21"/>
          <w:rtl w:val="0"/>
        </w:rPr>
        <w:t xml:space="preserve">Registered participants will be able to attend the virtual meetings</w:t>
      </w:r>
      <w:r w:rsidDel="00000000" w:rsidR="00000000" w:rsidRPr="00000000">
        <w:rPr>
          <w:color w:val="333333"/>
          <w:sz w:val="21"/>
          <w:szCs w:val="21"/>
          <w:rtl w:val="0"/>
        </w:rPr>
        <w:t xml:space="preserve">. Others will be able to follow the meeting through </w:t>
      </w:r>
      <w:hyperlink r:id="rId8">
        <w:r w:rsidDel="00000000" w:rsidR="00000000" w:rsidRPr="00000000">
          <w:rPr>
            <w:color w:val="4181c0"/>
            <w:sz w:val="21"/>
            <w:szCs w:val="21"/>
            <w:u w:val="single"/>
            <w:rtl w:val="0"/>
          </w:rPr>
          <w:t xml:space="preserve">UN Web TV</w:t>
        </w:r>
      </w:hyperlink>
      <w:r w:rsidDel="00000000" w:rsidR="00000000" w:rsidRPr="00000000">
        <w:rPr>
          <w:color w:val="333333"/>
          <w:sz w:val="21"/>
          <w:szCs w:val="21"/>
          <w:rtl w:val="0"/>
        </w:rPr>
        <w:t xml:space="preserve"> or YouTube. Further details on the process will be shared soon.</w:t>
      </w:r>
    </w:p>
    <w:p w:rsidR="00000000" w:rsidDel="00000000" w:rsidP="00000000" w:rsidRDefault="00000000" w:rsidRPr="00000000" w14:paraId="00000010">
      <w:pPr>
        <w:shd w:fill="ffffff" w:val="clear"/>
        <w:spacing w:after="160" w:lineRule="auto"/>
        <w:jc w:val="both"/>
        <w:rPr>
          <w:sz w:val="21"/>
          <w:szCs w:val="21"/>
          <w:highlight w:val="white"/>
        </w:rPr>
      </w:pPr>
      <w:r w:rsidDel="00000000" w:rsidR="00000000" w:rsidRPr="00000000">
        <w:rPr>
          <w:color w:val="a63212"/>
          <w:sz w:val="30"/>
          <w:szCs w:val="30"/>
          <w:rtl w:val="0"/>
        </w:rPr>
        <w:t xml:space="preserve">Engagement</w:t>
      </w:r>
      <w:r w:rsidDel="00000000" w:rsidR="00000000" w:rsidRPr="00000000">
        <w:rPr>
          <w:b w:val="1"/>
          <w:color w:val="4181c0"/>
          <w:sz w:val="20"/>
          <w:szCs w:val="20"/>
          <w:rtl w:val="0"/>
        </w:rPr>
        <w:t xml:space="preserve"> </w:t>
      </w:r>
      <w:r w:rsidDel="00000000" w:rsidR="00000000" w:rsidRPr="00000000">
        <w:rPr>
          <w:color w:val="333333"/>
          <w:sz w:val="21"/>
          <w:szCs w:val="21"/>
          <w:rtl w:val="0"/>
        </w:rPr>
        <w:t xml:space="preserve">UN DESA has created a '</w:t>
      </w:r>
      <w:hyperlink r:id="rId9">
        <w:r w:rsidDel="00000000" w:rsidR="00000000" w:rsidRPr="00000000">
          <w:rPr>
            <w:color w:val="4181c0"/>
            <w:sz w:val="21"/>
            <w:szCs w:val="21"/>
            <w:u w:val="single"/>
            <w:rtl w:val="0"/>
          </w:rPr>
          <w:t xml:space="preserve">Stakeholders</w:t>
        </w:r>
      </w:hyperlink>
      <w:r w:rsidDel="00000000" w:rsidR="00000000" w:rsidRPr="00000000">
        <w:rPr>
          <w:color w:val="333333"/>
          <w:sz w:val="21"/>
          <w:szCs w:val="21"/>
          <w:rtl w:val="0"/>
        </w:rPr>
        <w:t xml:space="preserve">' page which is accessible from the HLPF 2020 navigation bar. It contains information on engagement and participation at the 2020HLPF. For more informatio</w:t>
      </w:r>
      <w:r w:rsidDel="00000000" w:rsidR="00000000" w:rsidRPr="00000000">
        <w:rPr>
          <w:sz w:val="21"/>
          <w:szCs w:val="21"/>
          <w:rtl w:val="0"/>
        </w:rPr>
        <w:t xml:space="preserve">n on </w:t>
      </w:r>
      <w:r w:rsidDel="00000000" w:rsidR="00000000" w:rsidRPr="00000000">
        <w:rPr>
          <w:sz w:val="21"/>
          <w:szCs w:val="21"/>
          <w:highlight w:val="white"/>
          <w:rtl w:val="0"/>
        </w:rPr>
        <w:t xml:space="preserve">engaging in the VNR sessions during the HLPF, please click</w:t>
      </w:r>
      <w:r w:rsidDel="00000000" w:rsidR="00000000" w:rsidRPr="00000000">
        <w:rPr>
          <w:color w:val="666666"/>
          <w:sz w:val="21"/>
          <w:szCs w:val="21"/>
          <w:highlight w:val="white"/>
          <w:rtl w:val="0"/>
        </w:rPr>
        <w:t xml:space="preserve"> </w:t>
      </w:r>
      <w:hyperlink r:id="rId10">
        <w:r w:rsidDel="00000000" w:rsidR="00000000" w:rsidRPr="00000000">
          <w:rPr>
            <w:color w:val="007fad"/>
            <w:sz w:val="21"/>
            <w:szCs w:val="21"/>
            <w:highlight w:val="white"/>
            <w:u w:val="single"/>
            <w:rtl w:val="0"/>
          </w:rPr>
          <w:t xml:space="preserve">here</w:t>
        </w:r>
      </w:hyperlink>
      <w:r w:rsidDel="00000000" w:rsidR="00000000" w:rsidRPr="00000000">
        <w:rPr>
          <w:color w:val="333333"/>
          <w:sz w:val="21"/>
          <w:szCs w:val="21"/>
          <w:rtl w:val="0"/>
        </w:rPr>
        <w:t xml:space="preserve">.</w:t>
      </w:r>
      <w:r w:rsidDel="00000000" w:rsidR="00000000" w:rsidRPr="00000000">
        <w:rPr>
          <w:rtl w:val="0"/>
        </w:rPr>
      </w:r>
    </w:p>
    <w:p w:rsidR="00000000" w:rsidDel="00000000" w:rsidP="00000000" w:rsidRDefault="00000000" w:rsidRPr="00000000" w14:paraId="00000011">
      <w:pPr>
        <w:shd w:fill="ffffff" w:val="clear"/>
        <w:ind w:left="1200" w:firstLine="0"/>
        <w:jc w:val="both"/>
        <w:rPr>
          <w:sz w:val="20"/>
          <w:szCs w:val="20"/>
          <w:highlight w:val="white"/>
        </w:rPr>
      </w:pPr>
      <w:r w:rsidDel="00000000" w:rsidR="00000000" w:rsidRPr="00000000">
        <w:rPr>
          <w:rtl w:val="0"/>
        </w:rPr>
      </w:r>
    </w:p>
    <w:p w:rsidR="00000000" w:rsidDel="00000000" w:rsidP="00000000" w:rsidRDefault="00000000" w:rsidRPr="00000000" w14:paraId="00000012">
      <w:pPr>
        <w:shd w:fill="ffffff" w:val="clear"/>
        <w:jc w:val="both"/>
        <w:rPr>
          <w:b w:val="1"/>
          <w:color w:val="4181c0"/>
          <w:sz w:val="20"/>
          <w:szCs w:val="20"/>
        </w:rPr>
      </w:pPr>
      <w:r w:rsidDel="00000000" w:rsidR="00000000" w:rsidRPr="00000000">
        <w:rPr>
          <w:color w:val="a63212"/>
          <w:sz w:val="30"/>
          <w:szCs w:val="30"/>
          <w:rtl w:val="0"/>
        </w:rPr>
        <w:t xml:space="preserve">Stakeholder Perspective - Official Thematic Session</w:t>
      </w:r>
      <w:r w:rsidDel="00000000" w:rsidR="00000000" w:rsidRPr="00000000">
        <w:rPr>
          <w:rtl w:val="0"/>
        </w:rPr>
      </w:r>
    </w:p>
    <w:p w:rsidR="00000000" w:rsidDel="00000000" w:rsidP="00000000" w:rsidRDefault="00000000" w:rsidRPr="00000000" w14:paraId="00000013">
      <w:pPr>
        <w:shd w:fill="ffffff" w:val="clear"/>
        <w:jc w:val="both"/>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w:t>
      </w:r>
    </w:p>
    <w:p w:rsidR="00000000" w:rsidDel="00000000" w:rsidP="00000000" w:rsidRDefault="00000000" w:rsidRPr="00000000" w14:paraId="00000014">
      <w:pPr>
        <w:shd w:fill="ffffff" w:val="clear"/>
        <w:jc w:val="both"/>
        <w:rPr>
          <w:color w:val="333333"/>
          <w:sz w:val="21"/>
          <w:szCs w:val="21"/>
        </w:rPr>
      </w:pPr>
      <w:r w:rsidDel="00000000" w:rsidR="00000000" w:rsidRPr="00000000">
        <w:rPr>
          <w:color w:val="333333"/>
          <w:sz w:val="21"/>
          <w:szCs w:val="21"/>
          <w:rtl w:val="0"/>
        </w:rPr>
        <w:t xml:space="preserve">The</w:t>
      </w:r>
      <w:r w:rsidDel="00000000" w:rsidR="00000000" w:rsidRPr="00000000">
        <w:rPr>
          <w:color w:val="333333"/>
          <w:sz w:val="21"/>
          <w:szCs w:val="21"/>
          <w:rtl w:val="0"/>
        </w:rPr>
        <w:t xml:space="preserve"> </w:t>
      </w:r>
      <w:r w:rsidDel="00000000" w:rsidR="00000000" w:rsidRPr="00000000">
        <w:rPr>
          <w:color w:val="333333"/>
          <w:sz w:val="21"/>
          <w:szCs w:val="21"/>
          <w:rtl w:val="0"/>
        </w:rPr>
        <w:t xml:space="preserve">Major Groups and other Stakeholders (MGoS) Official Session is listed in the 2020 HLPF Programme on Tuesday, 7 July 2020 from 4 - 5pm EDT (New York time). The title of the session is: </w:t>
      </w:r>
      <w:r w:rsidDel="00000000" w:rsidR="00000000" w:rsidRPr="00000000">
        <w:rPr>
          <w:i w:val="1"/>
          <w:color w:val="333333"/>
          <w:sz w:val="21"/>
          <w:szCs w:val="21"/>
          <w:rtl w:val="0"/>
        </w:rPr>
        <w:t xml:space="preserve">Transformative pathways to realize the 2030 Agenda: a whole of society approach taking into account the impact of COVID19 (Stakeholder perspective)</w:t>
      </w:r>
      <w:r w:rsidDel="00000000" w:rsidR="00000000" w:rsidRPr="00000000">
        <w:rPr>
          <w:color w:val="333333"/>
          <w:sz w:val="21"/>
          <w:szCs w:val="21"/>
          <w:rtl w:val="0"/>
        </w:rPr>
        <w:t xml:space="preserve">. The session is organized by the MGoS CM. You will be able to view the session on UN Web TV or YouTube.</w:t>
      </w:r>
    </w:p>
    <w:p w:rsidR="00000000" w:rsidDel="00000000" w:rsidP="00000000" w:rsidRDefault="00000000" w:rsidRPr="00000000" w14:paraId="00000015">
      <w:pPr>
        <w:shd w:fill="ffffff" w:val="clear"/>
        <w:jc w:val="both"/>
        <w:rPr>
          <w:color w:val="333333"/>
          <w:sz w:val="21"/>
          <w:szCs w:val="21"/>
        </w:rPr>
      </w:pPr>
      <w:r w:rsidDel="00000000" w:rsidR="00000000" w:rsidRPr="00000000">
        <w:rPr>
          <w:rtl w:val="0"/>
        </w:rPr>
      </w:r>
    </w:p>
    <w:p w:rsidR="00000000" w:rsidDel="00000000" w:rsidP="00000000" w:rsidRDefault="00000000" w:rsidRPr="00000000" w14:paraId="00000016">
      <w:pPr>
        <w:shd w:fill="ffffff" w:val="clear"/>
        <w:spacing w:after="160" w:lineRule="auto"/>
        <w:jc w:val="both"/>
        <w:rPr>
          <w:color w:val="333333"/>
          <w:sz w:val="21"/>
          <w:szCs w:val="21"/>
        </w:rPr>
      </w:pPr>
      <w:r w:rsidDel="00000000" w:rsidR="00000000" w:rsidRPr="00000000">
        <w:rPr>
          <w:color w:val="a63212"/>
          <w:sz w:val="30"/>
          <w:szCs w:val="30"/>
          <w:rtl w:val="0"/>
        </w:rPr>
        <w:t xml:space="preserve">Thematic Review of the HLPF </w:t>
      </w:r>
      <w:r w:rsidDel="00000000" w:rsidR="00000000" w:rsidRPr="00000000">
        <w:rPr>
          <w:rtl w:val="0"/>
        </w:rPr>
      </w:r>
    </w:p>
    <w:p w:rsidR="00000000" w:rsidDel="00000000" w:rsidP="00000000" w:rsidRDefault="00000000" w:rsidRPr="00000000" w14:paraId="00000017">
      <w:pPr>
        <w:shd w:fill="ffffff" w:val="clear"/>
        <w:spacing w:after="160" w:lineRule="auto"/>
        <w:jc w:val="both"/>
        <w:rPr>
          <w:color w:val="333333"/>
          <w:sz w:val="21"/>
          <w:szCs w:val="21"/>
        </w:rPr>
      </w:pPr>
      <w:r w:rsidDel="00000000" w:rsidR="00000000" w:rsidRPr="00000000">
        <w:rPr>
          <w:color w:val="333333"/>
          <w:sz w:val="21"/>
          <w:szCs w:val="21"/>
          <w:rtl w:val="0"/>
        </w:rPr>
        <w:t xml:space="preserve">The Division for the Sustainable Development Goals within the UN Department of Economic and Social Affairs (DESA/DSDG) is organizing consultations on six topics for discussion during the planned July 2020 session of the UN High-level Political Forum on Sustainable Development (HLPF). The six sessions comprising this year’s “thematic review” aim to enable discussion of implementation of the 2030 Agenda with a focus on synergies and trade-offs among the 17 SDGs and accelerating progress towards the aim of leaving no one behind.</w:t>
      </w:r>
    </w:p>
    <w:p w:rsidR="00000000" w:rsidDel="00000000" w:rsidP="00000000" w:rsidRDefault="00000000" w:rsidRPr="00000000" w14:paraId="00000018">
      <w:pPr>
        <w:shd w:fill="ffffff" w:val="clear"/>
        <w:spacing w:after="160" w:lineRule="auto"/>
        <w:jc w:val="both"/>
        <w:rPr>
          <w:color w:val="333333"/>
          <w:sz w:val="21"/>
          <w:szCs w:val="21"/>
        </w:rPr>
      </w:pPr>
      <w:r w:rsidDel="00000000" w:rsidR="00000000" w:rsidRPr="00000000">
        <w:rPr>
          <w:color w:val="333333"/>
          <w:sz w:val="21"/>
          <w:szCs w:val="21"/>
          <w:rtl w:val="0"/>
        </w:rPr>
        <w:t xml:space="preserve">In previous HLPF sessions, participants conducted “in-depth reviews” on several individual SDGs each year. This year, no SDGs have been selected for in-depth review, but rather the GSDR’s six “entry points” for transformative action will provide a framework for thematic review. The review of each entry point will incorporate a set of closely related SDGs. All 17 SDGs are covered at least once in the course of the six sessions, and Goal 17 on means of implementation (partnership for the Goals) is covered in all six sessions.</w:t>
      </w:r>
    </w:p>
    <w:p w:rsidR="00000000" w:rsidDel="00000000" w:rsidP="00000000" w:rsidRDefault="00000000" w:rsidRPr="00000000" w14:paraId="00000019">
      <w:pPr>
        <w:shd w:fill="ffffff" w:val="clear"/>
        <w:spacing w:after="160" w:lineRule="auto"/>
        <w:jc w:val="both"/>
        <w:rPr>
          <w:color w:val="333333"/>
          <w:sz w:val="21"/>
          <w:szCs w:val="21"/>
        </w:rPr>
      </w:pPr>
      <w:r w:rsidDel="00000000" w:rsidR="00000000" w:rsidRPr="00000000">
        <w:rPr>
          <w:color w:val="333333"/>
          <w:sz w:val="21"/>
          <w:szCs w:val="21"/>
          <w:rtl w:val="0"/>
        </w:rPr>
        <w:t xml:space="preserve">This year the themes, which can be used as entry points of transformation, are:</w:t>
      </w:r>
    </w:p>
    <w:p w:rsidR="00000000" w:rsidDel="00000000" w:rsidP="00000000" w:rsidRDefault="00000000" w:rsidRPr="00000000" w14:paraId="0000001A">
      <w:pPr>
        <w:numPr>
          <w:ilvl w:val="0"/>
          <w:numId w:val="1"/>
        </w:numPr>
        <w:shd w:fill="ffffff" w:val="clear"/>
        <w:spacing w:after="0" w:afterAutospacing="0" w:lineRule="auto"/>
        <w:ind w:left="720" w:hanging="360"/>
        <w:jc w:val="both"/>
        <w:rPr>
          <w:color w:val="333333"/>
          <w:sz w:val="21"/>
          <w:szCs w:val="21"/>
        </w:rPr>
      </w:pPr>
      <w:r w:rsidDel="00000000" w:rsidR="00000000" w:rsidRPr="00000000">
        <w:rPr>
          <w:color w:val="333333"/>
          <w:sz w:val="21"/>
          <w:szCs w:val="21"/>
          <w:rtl w:val="0"/>
        </w:rPr>
        <w:t xml:space="preserve">Human well-being and capabilities</w:t>
      </w:r>
    </w:p>
    <w:p w:rsidR="00000000" w:rsidDel="00000000" w:rsidP="00000000" w:rsidRDefault="00000000" w:rsidRPr="00000000" w14:paraId="0000001B">
      <w:pPr>
        <w:numPr>
          <w:ilvl w:val="0"/>
          <w:numId w:val="1"/>
        </w:numPr>
        <w:shd w:fill="ffffff" w:val="clear"/>
        <w:spacing w:after="0" w:afterAutospacing="0" w:lineRule="auto"/>
        <w:ind w:left="720" w:hanging="360"/>
        <w:jc w:val="both"/>
        <w:rPr>
          <w:color w:val="333333"/>
          <w:sz w:val="21"/>
          <w:szCs w:val="21"/>
        </w:rPr>
      </w:pPr>
      <w:r w:rsidDel="00000000" w:rsidR="00000000" w:rsidRPr="00000000">
        <w:rPr>
          <w:color w:val="333333"/>
          <w:sz w:val="21"/>
          <w:szCs w:val="21"/>
          <w:rtl w:val="0"/>
        </w:rPr>
        <w:t xml:space="preserve">Sustainable and just economies</w:t>
      </w:r>
    </w:p>
    <w:p w:rsidR="00000000" w:rsidDel="00000000" w:rsidP="00000000" w:rsidRDefault="00000000" w:rsidRPr="00000000" w14:paraId="0000001C">
      <w:pPr>
        <w:numPr>
          <w:ilvl w:val="0"/>
          <w:numId w:val="1"/>
        </w:numPr>
        <w:shd w:fill="ffffff" w:val="clear"/>
        <w:spacing w:after="0" w:afterAutospacing="0" w:lineRule="auto"/>
        <w:ind w:left="720" w:hanging="360"/>
        <w:jc w:val="both"/>
        <w:rPr>
          <w:color w:val="333333"/>
          <w:sz w:val="21"/>
          <w:szCs w:val="21"/>
        </w:rPr>
      </w:pPr>
      <w:r w:rsidDel="00000000" w:rsidR="00000000" w:rsidRPr="00000000">
        <w:rPr>
          <w:color w:val="333333"/>
          <w:sz w:val="21"/>
          <w:szCs w:val="21"/>
          <w:rtl w:val="0"/>
        </w:rPr>
        <w:t xml:space="preserve">Sustainable food systems and healthy nutrition</w:t>
      </w:r>
    </w:p>
    <w:p w:rsidR="00000000" w:rsidDel="00000000" w:rsidP="00000000" w:rsidRDefault="00000000" w:rsidRPr="00000000" w14:paraId="0000001D">
      <w:pPr>
        <w:numPr>
          <w:ilvl w:val="0"/>
          <w:numId w:val="1"/>
        </w:numPr>
        <w:shd w:fill="ffffff" w:val="clear"/>
        <w:spacing w:after="0" w:afterAutospacing="0" w:lineRule="auto"/>
        <w:ind w:left="720" w:hanging="360"/>
        <w:jc w:val="both"/>
        <w:rPr>
          <w:color w:val="333333"/>
          <w:sz w:val="21"/>
          <w:szCs w:val="21"/>
        </w:rPr>
      </w:pPr>
      <w:r w:rsidDel="00000000" w:rsidR="00000000" w:rsidRPr="00000000">
        <w:rPr>
          <w:color w:val="333333"/>
          <w:sz w:val="21"/>
          <w:szCs w:val="21"/>
          <w:rtl w:val="0"/>
        </w:rPr>
        <w:t xml:space="preserve">Energy decarbonization with universal access</w:t>
      </w:r>
    </w:p>
    <w:p w:rsidR="00000000" w:rsidDel="00000000" w:rsidP="00000000" w:rsidRDefault="00000000" w:rsidRPr="00000000" w14:paraId="0000001E">
      <w:pPr>
        <w:numPr>
          <w:ilvl w:val="0"/>
          <w:numId w:val="1"/>
        </w:numPr>
        <w:shd w:fill="ffffff" w:val="clear"/>
        <w:spacing w:after="0" w:afterAutospacing="0" w:lineRule="auto"/>
        <w:ind w:left="720" w:hanging="360"/>
        <w:jc w:val="both"/>
        <w:rPr>
          <w:color w:val="333333"/>
          <w:sz w:val="21"/>
          <w:szCs w:val="21"/>
        </w:rPr>
      </w:pPr>
      <w:r w:rsidDel="00000000" w:rsidR="00000000" w:rsidRPr="00000000">
        <w:rPr>
          <w:color w:val="333333"/>
          <w:sz w:val="21"/>
          <w:szCs w:val="21"/>
          <w:rtl w:val="0"/>
        </w:rPr>
        <w:t xml:space="preserve">Urban and peri-urban development </w:t>
      </w:r>
    </w:p>
    <w:p w:rsidR="00000000" w:rsidDel="00000000" w:rsidP="00000000" w:rsidRDefault="00000000" w:rsidRPr="00000000" w14:paraId="0000001F">
      <w:pPr>
        <w:numPr>
          <w:ilvl w:val="0"/>
          <w:numId w:val="1"/>
        </w:numPr>
        <w:shd w:fill="ffffff" w:val="clear"/>
        <w:spacing w:after="160" w:lineRule="auto"/>
        <w:ind w:left="720" w:hanging="360"/>
        <w:jc w:val="both"/>
        <w:rPr>
          <w:color w:val="333333"/>
          <w:sz w:val="21"/>
          <w:szCs w:val="21"/>
        </w:rPr>
      </w:pPr>
      <w:r w:rsidDel="00000000" w:rsidR="00000000" w:rsidRPr="00000000">
        <w:rPr>
          <w:color w:val="333333"/>
          <w:sz w:val="21"/>
          <w:szCs w:val="21"/>
          <w:rtl w:val="0"/>
        </w:rPr>
        <w:t xml:space="preserve">Global environmental commons </w:t>
      </w:r>
    </w:p>
    <w:p w:rsidR="00000000" w:rsidDel="00000000" w:rsidP="00000000" w:rsidRDefault="00000000" w:rsidRPr="00000000" w14:paraId="00000020">
      <w:pPr>
        <w:shd w:fill="ffffff" w:val="clear"/>
        <w:spacing w:after="160" w:lineRule="auto"/>
        <w:jc w:val="both"/>
        <w:rPr>
          <w:color w:val="333333"/>
          <w:sz w:val="21"/>
          <w:szCs w:val="21"/>
        </w:rPr>
      </w:pPr>
      <w:r w:rsidDel="00000000" w:rsidR="00000000" w:rsidRPr="00000000">
        <w:rPr>
          <w:rtl w:val="0"/>
        </w:rPr>
      </w:r>
    </w:p>
    <w:p w:rsidR="00000000" w:rsidDel="00000000" w:rsidP="00000000" w:rsidRDefault="00000000" w:rsidRPr="00000000" w14:paraId="00000021">
      <w:pPr>
        <w:shd w:fill="ffffff" w:val="clear"/>
        <w:spacing w:after="160" w:lineRule="auto"/>
        <w:jc w:val="both"/>
        <w:rPr>
          <w:color w:val="333333"/>
          <w:sz w:val="21"/>
          <w:szCs w:val="21"/>
        </w:rPr>
      </w:pPr>
      <w:r w:rsidDel="00000000" w:rsidR="00000000" w:rsidRPr="00000000">
        <w:rPr>
          <w:color w:val="333333"/>
          <w:sz w:val="21"/>
          <w:szCs w:val="21"/>
          <w:rtl w:val="0"/>
        </w:rPr>
        <w:t xml:space="preserve">Each theme has four levers:</w:t>
      </w:r>
    </w:p>
    <w:p w:rsidR="00000000" w:rsidDel="00000000" w:rsidP="00000000" w:rsidRDefault="00000000" w:rsidRPr="00000000" w14:paraId="00000022">
      <w:pPr>
        <w:numPr>
          <w:ilvl w:val="0"/>
          <w:numId w:val="2"/>
        </w:numPr>
        <w:shd w:fill="ffffff" w:val="clear"/>
        <w:spacing w:after="0" w:afterAutospacing="0" w:lineRule="auto"/>
        <w:ind w:left="720" w:hanging="360"/>
        <w:jc w:val="both"/>
        <w:rPr>
          <w:color w:val="333333"/>
          <w:sz w:val="21"/>
          <w:szCs w:val="21"/>
        </w:rPr>
      </w:pPr>
      <w:r w:rsidDel="00000000" w:rsidR="00000000" w:rsidRPr="00000000">
        <w:rPr>
          <w:color w:val="333333"/>
          <w:sz w:val="21"/>
          <w:szCs w:val="21"/>
          <w:rtl w:val="0"/>
        </w:rPr>
        <w:t xml:space="preserve">Governance</w:t>
      </w:r>
    </w:p>
    <w:p w:rsidR="00000000" w:rsidDel="00000000" w:rsidP="00000000" w:rsidRDefault="00000000" w:rsidRPr="00000000" w14:paraId="00000023">
      <w:pPr>
        <w:numPr>
          <w:ilvl w:val="0"/>
          <w:numId w:val="2"/>
        </w:numPr>
        <w:shd w:fill="ffffff" w:val="clear"/>
        <w:spacing w:after="0" w:afterAutospacing="0" w:lineRule="auto"/>
        <w:ind w:left="720" w:hanging="360"/>
        <w:jc w:val="both"/>
        <w:rPr>
          <w:color w:val="333333"/>
          <w:sz w:val="21"/>
          <w:szCs w:val="21"/>
        </w:rPr>
      </w:pPr>
      <w:r w:rsidDel="00000000" w:rsidR="00000000" w:rsidRPr="00000000">
        <w:rPr>
          <w:color w:val="333333"/>
          <w:sz w:val="21"/>
          <w:szCs w:val="21"/>
          <w:rtl w:val="0"/>
        </w:rPr>
        <w:t xml:space="preserve">Economy and finance</w:t>
      </w:r>
    </w:p>
    <w:p w:rsidR="00000000" w:rsidDel="00000000" w:rsidP="00000000" w:rsidRDefault="00000000" w:rsidRPr="00000000" w14:paraId="00000024">
      <w:pPr>
        <w:numPr>
          <w:ilvl w:val="0"/>
          <w:numId w:val="2"/>
        </w:numPr>
        <w:shd w:fill="ffffff" w:val="clear"/>
        <w:spacing w:after="0" w:afterAutospacing="0" w:lineRule="auto"/>
        <w:ind w:left="720" w:hanging="360"/>
        <w:jc w:val="both"/>
        <w:rPr>
          <w:color w:val="333333"/>
          <w:sz w:val="21"/>
          <w:szCs w:val="21"/>
        </w:rPr>
      </w:pPr>
      <w:r w:rsidDel="00000000" w:rsidR="00000000" w:rsidRPr="00000000">
        <w:rPr>
          <w:color w:val="333333"/>
          <w:sz w:val="21"/>
          <w:szCs w:val="21"/>
          <w:rtl w:val="0"/>
        </w:rPr>
        <w:t xml:space="preserve">Individual and collective action</w:t>
      </w:r>
    </w:p>
    <w:p w:rsidR="00000000" w:rsidDel="00000000" w:rsidP="00000000" w:rsidRDefault="00000000" w:rsidRPr="00000000" w14:paraId="00000025">
      <w:pPr>
        <w:numPr>
          <w:ilvl w:val="0"/>
          <w:numId w:val="2"/>
        </w:numPr>
        <w:shd w:fill="ffffff" w:val="clear"/>
        <w:spacing w:after="160" w:lineRule="auto"/>
        <w:ind w:left="720" w:hanging="360"/>
        <w:jc w:val="both"/>
        <w:rPr>
          <w:color w:val="333333"/>
          <w:sz w:val="21"/>
          <w:szCs w:val="21"/>
        </w:rPr>
      </w:pPr>
      <w:r w:rsidDel="00000000" w:rsidR="00000000" w:rsidRPr="00000000">
        <w:rPr>
          <w:color w:val="333333"/>
          <w:sz w:val="21"/>
          <w:szCs w:val="21"/>
          <w:rtl w:val="0"/>
        </w:rPr>
        <w:t xml:space="preserve">Science and technology</w:t>
      </w:r>
      <w:r w:rsidDel="00000000" w:rsidR="00000000" w:rsidRPr="00000000">
        <w:rPr>
          <w:rtl w:val="0"/>
        </w:rPr>
      </w:r>
    </w:p>
    <w:p w:rsidR="00000000" w:rsidDel="00000000" w:rsidP="00000000" w:rsidRDefault="00000000" w:rsidRPr="00000000" w14:paraId="00000026">
      <w:pPr>
        <w:shd w:fill="ffffff" w:val="clear"/>
        <w:jc w:val="both"/>
        <w:rPr>
          <w:color w:val="333333"/>
          <w:sz w:val="21"/>
          <w:szCs w:val="21"/>
        </w:rPr>
      </w:pPr>
      <w:r w:rsidDel="00000000" w:rsidR="00000000" w:rsidRPr="00000000">
        <w:rPr>
          <w:rtl w:val="0"/>
        </w:rPr>
      </w:r>
    </w:p>
    <w:p w:rsidR="00000000" w:rsidDel="00000000" w:rsidP="00000000" w:rsidRDefault="00000000" w:rsidRPr="00000000" w14:paraId="00000027">
      <w:pPr>
        <w:shd w:fill="ffffff" w:val="clear"/>
        <w:spacing w:after="160" w:lineRule="auto"/>
        <w:jc w:val="both"/>
        <w:rPr>
          <w:color w:val="428bca"/>
          <w:sz w:val="20"/>
          <w:szCs w:val="20"/>
        </w:rPr>
      </w:pPr>
      <w:r w:rsidDel="00000000" w:rsidR="00000000" w:rsidRPr="00000000">
        <w:rPr>
          <w:rtl w:val="0"/>
        </w:rPr>
      </w:r>
    </w:p>
    <w:p w:rsidR="00000000" w:rsidDel="00000000" w:rsidP="00000000" w:rsidRDefault="00000000" w:rsidRPr="00000000" w14:paraId="00000028">
      <w:pPr>
        <w:shd w:fill="ffffff" w:val="clear"/>
        <w:jc w:val="both"/>
        <w:rPr>
          <w:color w:val="333333"/>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shd w:fill="ffffff" w:val="clear"/>
        <w:spacing w:after="160" w:lineRule="auto"/>
        <w:jc w:val="both"/>
        <w:rPr>
          <w:color w:val="333333"/>
          <w:sz w:val="21"/>
          <w:szCs w:val="21"/>
        </w:rPr>
      </w:pPr>
      <w:r w:rsidDel="00000000" w:rsidR="00000000" w:rsidRPr="00000000">
        <w:rPr>
          <w:color w:val="a63212"/>
          <w:sz w:val="30"/>
          <w:szCs w:val="30"/>
          <w:rtl w:val="0"/>
        </w:rPr>
        <w:t xml:space="preserve">A Brief History:</w:t>
      </w:r>
      <w:r w:rsidDel="00000000" w:rsidR="00000000" w:rsidRPr="00000000">
        <w:rPr>
          <w:color w:val="333333"/>
          <w:sz w:val="21"/>
          <w:szCs w:val="21"/>
          <w:rtl w:val="0"/>
        </w:rPr>
        <w:t xml:space="preserve">The HLPF is the successor to the Commission on Sustainable Development (CSD), which commenced after the United Nations Conference on Environment and Development (UNCED) in 1992. The HLPF first convened on September 24th, 2013 and is designed to continue the CSD’s work in following up with an international agenda for sustainable development. The HLPF monitors the progress in the implementation of the </w:t>
      </w:r>
      <w:r w:rsidDel="00000000" w:rsidR="00000000" w:rsidRPr="00000000">
        <w:rPr>
          <w:color w:val="a63212"/>
          <w:sz w:val="21"/>
          <w:szCs w:val="21"/>
          <w:rtl w:val="0"/>
        </w:rPr>
        <w:t xml:space="preserve">Rio Declaration on Environment and Development</w:t>
      </w:r>
      <w:r w:rsidDel="00000000" w:rsidR="00000000" w:rsidRPr="00000000">
        <w:rPr>
          <w:color w:val="a63212"/>
          <w:sz w:val="17"/>
          <w:szCs w:val="17"/>
          <w:rtl w:val="0"/>
        </w:rPr>
        <w:t xml:space="preserve">1</w:t>
      </w:r>
      <w:r w:rsidDel="00000000" w:rsidR="00000000" w:rsidRPr="00000000">
        <w:rPr>
          <w:color w:val="333333"/>
          <w:sz w:val="21"/>
          <w:szCs w:val="21"/>
          <w:rtl w:val="0"/>
        </w:rPr>
        <w:t xml:space="preserve"> and the SDGs and also supports the realization of the </w:t>
      </w:r>
      <w:r w:rsidDel="00000000" w:rsidR="00000000" w:rsidRPr="00000000">
        <w:rPr>
          <w:color w:val="a63212"/>
          <w:sz w:val="21"/>
          <w:szCs w:val="21"/>
          <w:rtl w:val="0"/>
        </w:rPr>
        <w:t xml:space="preserve">Johannesburg Plan of Implementation</w:t>
      </w:r>
      <w:r w:rsidDel="00000000" w:rsidR="00000000" w:rsidRPr="00000000">
        <w:rPr>
          <w:color w:val="a63212"/>
          <w:sz w:val="17"/>
          <w:szCs w:val="17"/>
          <w:rtl w:val="0"/>
        </w:rPr>
        <w:t xml:space="preserve">2</w:t>
      </w:r>
      <w:r w:rsidDel="00000000" w:rsidR="00000000" w:rsidRPr="00000000">
        <w:rPr>
          <w:color w:val="333333"/>
          <w:sz w:val="21"/>
          <w:szCs w:val="21"/>
          <w:rtl w:val="0"/>
        </w:rPr>
        <w:t xml:space="preserve">.</w:t>
      </w:r>
    </w:p>
    <w:p w:rsidR="00000000" w:rsidDel="00000000" w:rsidP="00000000" w:rsidRDefault="00000000" w:rsidRPr="00000000" w14:paraId="0000002A">
      <w:pPr>
        <w:shd w:fill="ffffff" w:val="clear"/>
        <w:spacing w:after="160" w:lineRule="auto"/>
        <w:jc w:val="both"/>
        <w:rPr>
          <w:color w:val="333333"/>
          <w:sz w:val="21"/>
          <w:szCs w:val="21"/>
        </w:rPr>
      </w:pPr>
      <w:r w:rsidDel="00000000" w:rsidR="00000000" w:rsidRPr="00000000">
        <w:rPr>
          <w:color w:val="333333"/>
          <w:sz w:val="21"/>
          <w:szCs w:val="21"/>
          <w:rtl w:val="0"/>
        </w:rPr>
        <w:t xml:space="preserve">1 </w:t>
      </w:r>
      <w:hyperlink r:id="rId11">
        <w:r w:rsidDel="00000000" w:rsidR="00000000" w:rsidRPr="00000000">
          <w:rPr>
            <w:color w:val="1155cc"/>
            <w:sz w:val="21"/>
            <w:szCs w:val="21"/>
            <w:u w:val="single"/>
            <w:rtl w:val="0"/>
          </w:rPr>
          <w:t xml:space="preserve">https://www.un.org/en/development/desa/population/migration/generalassembly/docs/globalcompact/A_CONF.151_26_Vol.I_Declaration.pdf</w:t>
        </w:r>
      </w:hyperlink>
      <w:r w:rsidDel="00000000" w:rsidR="00000000" w:rsidRPr="00000000">
        <w:rPr>
          <w:rtl w:val="0"/>
        </w:rPr>
      </w:r>
    </w:p>
    <w:p w:rsidR="00000000" w:rsidDel="00000000" w:rsidP="00000000" w:rsidRDefault="00000000" w:rsidRPr="00000000" w14:paraId="0000002B">
      <w:pPr>
        <w:shd w:fill="ffffff" w:val="clear"/>
        <w:spacing w:after="160" w:lineRule="auto"/>
        <w:jc w:val="both"/>
        <w:rPr>
          <w:color w:val="333333"/>
          <w:sz w:val="21"/>
          <w:szCs w:val="21"/>
        </w:rPr>
      </w:pPr>
      <w:r w:rsidDel="00000000" w:rsidR="00000000" w:rsidRPr="00000000">
        <w:rPr>
          <w:color w:val="333333"/>
          <w:sz w:val="21"/>
          <w:szCs w:val="21"/>
          <w:rtl w:val="0"/>
        </w:rPr>
        <w:t xml:space="preserve">2. </w:t>
      </w:r>
      <w:hyperlink r:id="rId12">
        <w:r w:rsidDel="00000000" w:rsidR="00000000" w:rsidRPr="00000000">
          <w:rPr>
            <w:color w:val="1155cc"/>
            <w:sz w:val="21"/>
            <w:szCs w:val="21"/>
            <w:u w:val="single"/>
            <w:rtl w:val="0"/>
          </w:rPr>
          <w:t xml:space="preserve">https://www.un.org/esa/sustdev/documents/WSSD_POI_PD/English/WSSD_PlanImpl.pdf</w:t>
        </w:r>
      </w:hyperlink>
      <w:r w:rsidDel="00000000" w:rsidR="00000000" w:rsidRPr="00000000">
        <w:rPr>
          <w:rtl w:val="0"/>
        </w:rPr>
      </w:r>
    </w:p>
    <w:p w:rsidR="00000000" w:rsidDel="00000000" w:rsidP="00000000" w:rsidRDefault="00000000" w:rsidRPr="00000000" w14:paraId="0000002C">
      <w:pPr>
        <w:shd w:fill="ffffff" w:val="clear"/>
        <w:jc w:val="both"/>
        <w:rPr>
          <w:color w:val="333333"/>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D">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2E">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2F">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30">
      <w:pPr>
        <w:shd w:fill="ffffff" w:val="clear"/>
        <w:spacing w:after="160" w:lineRule="auto"/>
        <w:jc w:val="both"/>
        <w:rPr>
          <w:color w:val="a63212"/>
          <w:sz w:val="30"/>
          <w:szCs w:val="30"/>
        </w:rPr>
      </w:pPr>
      <w:r w:rsidDel="00000000" w:rsidR="00000000" w:rsidRPr="00000000">
        <w:rPr>
          <w:color w:val="a63212"/>
          <w:sz w:val="30"/>
          <w:szCs w:val="30"/>
          <w:rtl w:val="0"/>
        </w:rPr>
        <w:t xml:space="preserve">The Sustainable Development Goals and 2030 Agenda</w:t>
      </w:r>
    </w:p>
    <w:p w:rsidR="00000000" w:rsidDel="00000000" w:rsidP="00000000" w:rsidRDefault="00000000" w:rsidRPr="00000000" w14:paraId="00000031">
      <w:pPr>
        <w:shd w:fill="ffffff" w:val="clear"/>
        <w:spacing w:after="160" w:lineRule="auto"/>
        <w:jc w:val="both"/>
        <w:rPr>
          <w:color w:val="a63212"/>
          <w:sz w:val="30"/>
          <w:szCs w:val="30"/>
        </w:rPr>
      </w:pPr>
      <w:r w:rsidDel="00000000" w:rsidR="00000000" w:rsidRPr="00000000">
        <w:rPr>
          <w:color w:val="a63212"/>
          <w:sz w:val="30"/>
          <w:szCs w:val="30"/>
        </w:rPr>
        <w:drawing>
          <wp:inline distB="114300" distT="114300" distL="114300" distR="114300">
            <wp:extent cx="2933700" cy="1276350"/>
            <wp:effectExtent b="0" l="0" r="0" t="0"/>
            <wp:docPr id="2" name="image2.jpg"/>
            <a:graphic>
              <a:graphicData uri="http://schemas.openxmlformats.org/drawingml/2006/picture">
                <pic:pic>
                  <pic:nvPicPr>
                    <pic:cNvPr id="0" name="image2.jpg"/>
                    <pic:cNvPicPr preferRelativeResize="0"/>
                  </pic:nvPicPr>
                  <pic:blipFill>
                    <a:blip r:embed="rId13"/>
                    <a:srcRect b="0" l="0" r="0" t="0"/>
                    <a:stretch>
                      <a:fillRect/>
                    </a:stretch>
                  </pic:blipFill>
                  <pic:spPr>
                    <a:xfrm>
                      <a:off x="0" y="0"/>
                      <a:ext cx="2933700" cy="1276350"/>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shd w:fill="ffffff" w:val="clear"/>
        <w:spacing w:after="160" w:lineRule="auto"/>
        <w:jc w:val="both"/>
        <w:rPr>
          <w:color w:val="333333"/>
          <w:sz w:val="21"/>
          <w:szCs w:val="21"/>
        </w:rPr>
      </w:pPr>
      <w:r w:rsidDel="00000000" w:rsidR="00000000" w:rsidRPr="00000000">
        <w:rPr>
          <w:color w:val="a63212"/>
          <w:sz w:val="21"/>
          <w:szCs w:val="21"/>
          <w:u w:val="single"/>
          <w:rtl w:val="0"/>
        </w:rPr>
        <w:t xml:space="preserve">The SDGs</w:t>
      </w:r>
      <w:r w:rsidDel="00000000" w:rsidR="00000000" w:rsidRPr="00000000">
        <w:rPr>
          <w:color w:val="333333"/>
          <w:sz w:val="21"/>
          <w:szCs w:val="21"/>
          <w:rtl w:val="0"/>
        </w:rPr>
        <w:t xml:space="preserve">, otherwise known as the Global Goals, are a set of 17 interconnected goals for UN Member States that aim to end poverty, achieve gender equality, protect the planet and ensure that all people enjoy peace and prosperity. </w:t>
      </w:r>
      <w:r w:rsidDel="00000000" w:rsidR="00000000" w:rsidRPr="00000000">
        <w:rPr>
          <w:color w:val="a63212"/>
          <w:sz w:val="21"/>
          <w:szCs w:val="21"/>
          <w:u w:val="single"/>
          <w:rtl w:val="0"/>
        </w:rPr>
        <w:t xml:space="preserve">The Agenda 2030</w:t>
      </w:r>
      <w:r w:rsidDel="00000000" w:rsidR="00000000" w:rsidRPr="00000000">
        <w:rPr>
          <w:color w:val="333333"/>
          <w:sz w:val="21"/>
          <w:szCs w:val="21"/>
          <w:rtl w:val="0"/>
        </w:rPr>
        <w:t xml:space="preserve"> is the UN plan of action to implement these goals. It provides clear guidelines and targets for all countries to adopt in accordance with their own priorities and the environmental challenges of the world at large. The Agenda 2030 is an inclusive framework with a central commitment to “leave no one behind.”</w:t>
      </w:r>
    </w:p>
    <w:p w:rsidR="00000000" w:rsidDel="00000000" w:rsidP="00000000" w:rsidRDefault="00000000" w:rsidRPr="00000000" w14:paraId="00000033">
      <w:pPr>
        <w:shd w:fill="ffffff" w:val="clear"/>
        <w:spacing w:after="160" w:lineRule="auto"/>
        <w:jc w:val="both"/>
        <w:rPr>
          <w:color w:val="333333"/>
          <w:sz w:val="21"/>
          <w:szCs w:val="21"/>
        </w:rPr>
      </w:pPr>
      <w:hyperlink r:id="rId14">
        <w:r w:rsidDel="00000000" w:rsidR="00000000" w:rsidRPr="00000000">
          <w:rPr>
            <w:color w:val="1155cc"/>
            <w:sz w:val="21"/>
            <w:szCs w:val="21"/>
            <w:u w:val="single"/>
            <w:rtl w:val="0"/>
          </w:rPr>
          <w:t xml:space="preserve">Do you know all 17 SDGs? Watch this short video</w:t>
        </w:r>
      </w:hyperlink>
      <w:r w:rsidDel="00000000" w:rsidR="00000000" w:rsidRPr="00000000">
        <w:rPr>
          <w:rtl w:val="0"/>
        </w:rPr>
      </w:r>
    </w:p>
    <w:p w:rsidR="00000000" w:rsidDel="00000000" w:rsidP="00000000" w:rsidRDefault="00000000" w:rsidRPr="00000000" w14:paraId="00000034">
      <w:pPr>
        <w:shd w:fill="ffffff" w:val="clear"/>
        <w:jc w:val="both"/>
        <w:rPr>
          <w:color w:val="333333"/>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5">
      <w:pPr>
        <w:shd w:fill="ffffff" w:val="clear"/>
        <w:spacing w:after="160" w:lineRule="auto"/>
        <w:jc w:val="both"/>
        <w:rPr>
          <w:color w:val="a63212"/>
          <w:sz w:val="17"/>
          <w:szCs w:val="17"/>
        </w:rPr>
      </w:pPr>
      <w:r w:rsidDel="00000000" w:rsidR="00000000" w:rsidRPr="00000000">
        <w:rPr>
          <w:color w:val="a63212"/>
          <w:sz w:val="30"/>
          <w:szCs w:val="30"/>
          <w:rtl w:val="0"/>
        </w:rPr>
        <w:t xml:space="preserve">HLPF Processes</w:t>
      </w:r>
      <w:r w:rsidDel="00000000" w:rsidR="00000000" w:rsidRPr="00000000">
        <w:rPr>
          <w:color w:val="a63212"/>
          <w:sz w:val="17"/>
          <w:szCs w:val="17"/>
          <w:rtl w:val="0"/>
        </w:rPr>
        <w:t xml:space="preserve">3</w:t>
      </w:r>
    </w:p>
    <w:p w:rsidR="00000000" w:rsidDel="00000000" w:rsidP="00000000" w:rsidRDefault="00000000" w:rsidRPr="00000000" w14:paraId="00000036">
      <w:pPr>
        <w:shd w:fill="ffffff" w:val="clear"/>
        <w:spacing w:after="160" w:lineRule="auto"/>
        <w:jc w:val="both"/>
        <w:rPr>
          <w:color w:val="333333"/>
          <w:sz w:val="20"/>
          <w:szCs w:val="20"/>
        </w:rPr>
      </w:pPr>
      <w:r w:rsidDel="00000000" w:rsidR="00000000" w:rsidRPr="00000000">
        <w:rPr>
          <w:i w:val="1"/>
          <w:color w:val="a63212"/>
          <w:sz w:val="30"/>
          <w:szCs w:val="30"/>
          <w:u w:val="single"/>
          <w:rtl w:val="0"/>
        </w:rPr>
        <w:t xml:space="preserve">The Ministerial  Declaration:</w:t>
      </w:r>
      <w:r w:rsidDel="00000000" w:rsidR="00000000" w:rsidRPr="00000000">
        <w:rPr>
          <w:color w:val="333333"/>
          <w:sz w:val="21"/>
          <w:szCs w:val="21"/>
          <w:rtl w:val="0"/>
        </w:rPr>
        <w:t xml:space="preserve"> Before this year’s HLPF, UN Member States have begun negotiating the Political Declaration. It  will be adopted during the Opening Session of the HLPF. The Ministerial Declaration provides a platform for political leadership, guidance and recommendations for follow-up and review of the SDGs and reinforces the commitments of countries to the implementation of the SDGs.</w:t>
      </w:r>
      <w:r w:rsidDel="00000000" w:rsidR="00000000" w:rsidRPr="00000000">
        <w:rPr>
          <w:rtl w:val="0"/>
        </w:rPr>
      </w:r>
    </w:p>
    <w:p w:rsidR="00000000" w:rsidDel="00000000" w:rsidP="00000000" w:rsidRDefault="00000000" w:rsidRPr="00000000" w14:paraId="00000037">
      <w:pPr>
        <w:shd w:fill="ffffff" w:val="clear"/>
        <w:spacing w:after="160" w:lineRule="auto"/>
        <w:jc w:val="both"/>
        <w:rPr>
          <w:color w:val="428bca"/>
          <w:sz w:val="20"/>
          <w:szCs w:val="20"/>
        </w:rPr>
      </w:pPr>
      <w:r w:rsidDel="00000000" w:rsidR="00000000" w:rsidRPr="00000000">
        <w:rPr>
          <w:color w:val="333333"/>
          <w:sz w:val="20"/>
          <w:szCs w:val="20"/>
          <w:rtl w:val="0"/>
        </w:rPr>
        <w:t xml:space="preserve">1 – </w:t>
      </w:r>
      <w:hyperlink r:id="rId15">
        <w:r w:rsidDel="00000000" w:rsidR="00000000" w:rsidRPr="00000000">
          <w:rPr>
            <w:color w:val="428bca"/>
            <w:sz w:val="20"/>
            <w:szCs w:val="20"/>
            <w:rtl w:val="0"/>
          </w:rPr>
          <w:t xml:space="preserve">https://sustainabledevelopment.un.org/hlpf</w:t>
        </w:r>
      </w:hyperlink>
      <w:r w:rsidDel="00000000" w:rsidR="00000000" w:rsidRPr="00000000">
        <w:rPr>
          <w:rtl w:val="0"/>
        </w:rPr>
      </w:r>
    </w:p>
    <w:p w:rsidR="00000000" w:rsidDel="00000000" w:rsidP="00000000" w:rsidRDefault="00000000" w:rsidRPr="00000000" w14:paraId="00000038">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39">
      <w:pPr>
        <w:shd w:fill="ffffff" w:val="clear"/>
        <w:spacing w:after="160" w:lineRule="auto"/>
        <w:ind w:left="720" w:firstLine="0"/>
        <w:jc w:val="both"/>
        <w:rPr>
          <w:color w:val="333333"/>
          <w:sz w:val="21"/>
          <w:szCs w:val="21"/>
        </w:rPr>
      </w:pPr>
      <w:r w:rsidDel="00000000" w:rsidR="00000000" w:rsidRPr="00000000">
        <w:rPr>
          <w:rtl w:val="0"/>
        </w:rPr>
      </w:r>
    </w:p>
    <w:p w:rsidR="00000000" w:rsidDel="00000000" w:rsidP="00000000" w:rsidRDefault="00000000" w:rsidRPr="00000000" w14:paraId="0000003A">
      <w:pPr>
        <w:shd w:fill="ffffff" w:val="clear"/>
        <w:spacing w:after="160" w:lineRule="auto"/>
        <w:jc w:val="both"/>
        <w:rPr>
          <w:color w:val="333333"/>
          <w:sz w:val="21"/>
          <w:szCs w:val="21"/>
        </w:rPr>
      </w:pPr>
      <w:r w:rsidDel="00000000" w:rsidR="00000000" w:rsidRPr="00000000">
        <w:rPr>
          <w:i w:val="1"/>
          <w:color w:val="a63212"/>
          <w:sz w:val="30"/>
          <w:szCs w:val="30"/>
          <w:u w:val="single"/>
          <w:rtl w:val="0"/>
        </w:rPr>
        <w:t xml:space="preserve">Voluntary National Reviews:</w:t>
      </w:r>
      <w:r w:rsidDel="00000000" w:rsidR="00000000" w:rsidRPr="00000000">
        <w:rPr>
          <w:color w:val="333333"/>
          <w:sz w:val="21"/>
          <w:szCs w:val="21"/>
          <w:rtl w:val="0"/>
        </w:rPr>
        <w:t xml:space="preserve"> </w:t>
      </w:r>
      <w:r w:rsidDel="00000000" w:rsidR="00000000" w:rsidRPr="00000000">
        <w:rPr>
          <w:color w:val="333333"/>
          <w:sz w:val="21"/>
          <w:szCs w:val="21"/>
          <w:rtl w:val="0"/>
        </w:rPr>
        <w:t xml:space="preserve">At the HLPF, States present “Voluntary National Reviews” (VNRs) which are reports on progress toward the SDGs that they submit to the forum. These are meant to track the economic, social, and environmental dimensions of development in national and international contexts. VNRs are voluntary, state led, undertaken by both developed and developing countries, and provide a platform for partnerships, including through the participation of major groups and other stakeholders. Each year the States vary depending on their own commitment to do a voluntary national review. VNRs allow the sharing of experiences and aim to accelerate the implementation of the Agenda 2030. VNRs are prepared by governments in a process that is supposed to be consultative, inclusive, and participatory and aims to involve all major groups and other stakeholders. This is supposed to include all sectors and levels of government, civil society, private sector, members of Parliament and other institutions. VNRs also provide a space where States can comment on the gaps and challenges to achieving Agenda 2030, taking into consideration each country’s capacity to implement policy and infrastructure changes to progress development.</w:t>
      </w:r>
      <w:r w:rsidDel="00000000" w:rsidR="00000000" w:rsidRPr="00000000">
        <w:rPr>
          <w:rtl w:val="0"/>
        </w:rPr>
      </w:r>
    </w:p>
    <w:p w:rsidR="00000000" w:rsidDel="00000000" w:rsidP="00000000" w:rsidRDefault="00000000" w:rsidRPr="00000000" w14:paraId="0000003B">
      <w:pPr>
        <w:shd w:fill="ffffff" w:val="clear"/>
        <w:spacing w:after="160" w:lineRule="auto"/>
        <w:jc w:val="both"/>
        <w:rPr>
          <w:color w:val="333333"/>
          <w:sz w:val="21"/>
          <w:szCs w:val="21"/>
        </w:rPr>
      </w:pPr>
      <w:hyperlink r:id="rId16">
        <w:r w:rsidDel="00000000" w:rsidR="00000000" w:rsidRPr="00000000">
          <w:rPr>
            <w:color w:val="1155cc"/>
            <w:sz w:val="21"/>
            <w:szCs w:val="21"/>
            <w:u w:val="single"/>
            <w:rtl w:val="0"/>
          </w:rPr>
          <w:t xml:space="preserve">You can view the VNR database here</w:t>
        </w:r>
      </w:hyperlink>
      <w:r w:rsidDel="00000000" w:rsidR="00000000" w:rsidRPr="00000000">
        <w:rPr>
          <w:rtl w:val="0"/>
        </w:rPr>
      </w:r>
    </w:p>
    <w:p w:rsidR="00000000" w:rsidDel="00000000" w:rsidP="00000000" w:rsidRDefault="00000000" w:rsidRPr="00000000" w14:paraId="0000003C">
      <w:pPr>
        <w:shd w:fill="ffffff" w:val="clear"/>
        <w:spacing w:after="160" w:lineRule="auto"/>
        <w:jc w:val="both"/>
        <w:rPr>
          <w:color w:val="333333"/>
          <w:sz w:val="21"/>
          <w:szCs w:val="21"/>
        </w:rPr>
      </w:pPr>
      <w:r w:rsidDel="00000000" w:rsidR="00000000" w:rsidRPr="00000000">
        <w:rPr>
          <w:color w:val="333333"/>
          <w:sz w:val="21"/>
          <w:szCs w:val="21"/>
          <w:rtl w:val="0"/>
        </w:rPr>
        <w:t xml:space="preserve">For information about how to prepare VNRs click see this </w:t>
      </w:r>
      <w:hyperlink r:id="rId17">
        <w:r w:rsidDel="00000000" w:rsidR="00000000" w:rsidRPr="00000000">
          <w:rPr>
            <w:color w:val="1155cc"/>
            <w:sz w:val="21"/>
            <w:szCs w:val="21"/>
            <w:u w:val="single"/>
            <w:rtl w:val="0"/>
          </w:rPr>
          <w:t xml:space="preserve">guideline</w:t>
        </w:r>
      </w:hyperlink>
      <w:r w:rsidDel="00000000" w:rsidR="00000000" w:rsidRPr="00000000">
        <w:rPr>
          <w:color w:val="333333"/>
          <w:sz w:val="21"/>
          <w:szCs w:val="21"/>
          <w:rtl w:val="0"/>
        </w:rPr>
        <w:t xml:space="preserve"> (in English)</w:t>
      </w:r>
    </w:p>
    <w:p w:rsidR="00000000" w:rsidDel="00000000" w:rsidP="00000000" w:rsidRDefault="00000000" w:rsidRPr="00000000" w14:paraId="0000003D">
      <w:pPr>
        <w:shd w:fill="ffffff" w:val="clear"/>
        <w:spacing w:after="160" w:lineRule="auto"/>
        <w:jc w:val="both"/>
        <w:rPr>
          <w:color w:val="333333"/>
          <w:sz w:val="21"/>
          <w:szCs w:val="21"/>
        </w:rPr>
      </w:pPr>
      <w:r w:rsidDel="00000000" w:rsidR="00000000" w:rsidRPr="00000000">
        <w:rPr>
          <w:color w:val="333333"/>
          <w:sz w:val="21"/>
          <w:szCs w:val="21"/>
          <w:rtl w:val="0"/>
        </w:rPr>
        <w:t xml:space="preserve">To see 2019 VNRs by each country, please follow </w:t>
      </w:r>
      <w:hyperlink r:id="rId18">
        <w:r w:rsidDel="00000000" w:rsidR="00000000" w:rsidRPr="00000000">
          <w:rPr>
            <w:color w:val="1155cc"/>
            <w:sz w:val="21"/>
            <w:szCs w:val="21"/>
            <w:u w:val="single"/>
            <w:rtl w:val="0"/>
          </w:rPr>
          <w:t xml:space="preserve">this link </w:t>
        </w:r>
      </w:hyperlink>
      <w:r w:rsidDel="00000000" w:rsidR="00000000" w:rsidRPr="00000000">
        <w:rPr>
          <w:rtl w:val="0"/>
        </w:rPr>
      </w:r>
    </w:p>
    <w:p w:rsidR="00000000" w:rsidDel="00000000" w:rsidP="00000000" w:rsidRDefault="00000000" w:rsidRPr="00000000" w14:paraId="0000003E">
      <w:pPr>
        <w:shd w:fill="ffffff" w:val="clear"/>
        <w:jc w:val="both"/>
        <w:rPr>
          <w:color w:val="333333"/>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F">
      <w:pPr>
        <w:shd w:fill="ffffff" w:val="clear"/>
        <w:spacing w:after="160" w:lineRule="auto"/>
        <w:jc w:val="both"/>
        <w:rPr>
          <w:color w:val="a63212"/>
          <w:sz w:val="30"/>
          <w:szCs w:val="30"/>
        </w:rPr>
      </w:pPr>
      <w:r w:rsidDel="00000000" w:rsidR="00000000" w:rsidRPr="00000000">
        <w:rPr>
          <w:color w:val="a63212"/>
          <w:sz w:val="30"/>
          <w:szCs w:val="30"/>
          <w:rtl w:val="0"/>
        </w:rPr>
        <w:t xml:space="preserve">Lesbian, Gay, Bisexual, Trans, and Intersex at HLPF</w:t>
      </w:r>
    </w:p>
    <w:p w:rsidR="00000000" w:rsidDel="00000000" w:rsidP="00000000" w:rsidRDefault="00000000" w:rsidRPr="00000000" w14:paraId="00000040">
      <w:pPr>
        <w:shd w:fill="ffffff" w:val="clear"/>
        <w:spacing w:after="160" w:lineRule="auto"/>
        <w:jc w:val="both"/>
        <w:rPr>
          <w:color w:val="333333"/>
          <w:sz w:val="21"/>
          <w:szCs w:val="21"/>
        </w:rPr>
      </w:pPr>
      <w:r w:rsidDel="00000000" w:rsidR="00000000" w:rsidRPr="00000000">
        <w:rPr>
          <w:color w:val="333333"/>
          <w:sz w:val="21"/>
          <w:szCs w:val="21"/>
          <w:rtl w:val="0"/>
        </w:rPr>
        <w:t xml:space="preserve">The “leave no one behind” principle of the SDGs mandates the inclusion of lesbian, gay, bisexual, transgender and intersex (LGBTI) people. In short, the SDGs must be inclusive of all people regardless of their sexual orientation, gender identity or expression, and/or sex characteristics.</w:t>
      </w:r>
    </w:p>
    <w:p w:rsidR="00000000" w:rsidDel="00000000" w:rsidP="00000000" w:rsidRDefault="00000000" w:rsidRPr="00000000" w14:paraId="00000041">
      <w:pPr>
        <w:shd w:fill="ffffff" w:val="clear"/>
        <w:spacing w:after="160" w:lineRule="auto"/>
        <w:jc w:val="both"/>
        <w:rPr>
          <w:color w:val="333333"/>
          <w:sz w:val="21"/>
          <w:szCs w:val="21"/>
        </w:rPr>
      </w:pPr>
      <w:r w:rsidDel="00000000" w:rsidR="00000000" w:rsidRPr="00000000">
        <w:rPr>
          <w:color w:val="333333"/>
          <w:sz w:val="21"/>
          <w:szCs w:val="21"/>
          <w:rtl w:val="0"/>
        </w:rPr>
        <w:t xml:space="preserve">As a result of the advocacy of UN Member States, UN entities and LGBTI civil society, </w:t>
      </w:r>
      <w:r w:rsidDel="00000000" w:rsidR="00000000" w:rsidRPr="00000000">
        <w:rPr>
          <w:color w:val="333333"/>
          <w:sz w:val="21"/>
          <w:szCs w:val="21"/>
          <w:rtl w:val="0"/>
        </w:rPr>
        <w:t xml:space="preserve">SOGIESC </w:t>
      </w:r>
      <w:r w:rsidDel="00000000" w:rsidR="00000000" w:rsidRPr="00000000">
        <w:rPr>
          <w:color w:val="333333"/>
          <w:sz w:val="21"/>
          <w:szCs w:val="21"/>
          <w:rtl w:val="0"/>
        </w:rPr>
        <w:t xml:space="preserve">have become increasingly visible throughout the HLPF program.</w:t>
      </w:r>
    </w:p>
    <w:p w:rsidR="00000000" w:rsidDel="00000000" w:rsidP="00000000" w:rsidRDefault="00000000" w:rsidRPr="00000000" w14:paraId="00000042">
      <w:pPr>
        <w:shd w:fill="ffffff" w:val="clear"/>
        <w:spacing w:after="160" w:lineRule="auto"/>
        <w:jc w:val="both"/>
        <w:rPr>
          <w:color w:val="333333"/>
          <w:sz w:val="21"/>
          <w:szCs w:val="21"/>
        </w:rPr>
      </w:pPr>
      <w:r w:rsidDel="00000000" w:rsidR="00000000" w:rsidRPr="00000000">
        <w:rPr>
          <w:rtl w:val="0"/>
        </w:rPr>
      </w:r>
    </w:p>
    <w:p w:rsidR="00000000" w:rsidDel="00000000" w:rsidP="00000000" w:rsidRDefault="00000000" w:rsidRPr="00000000" w14:paraId="00000043">
      <w:pPr>
        <w:shd w:fill="ffffff" w:val="clear"/>
        <w:spacing w:after="160" w:lineRule="auto"/>
        <w:jc w:val="both"/>
        <w:rPr>
          <w:color w:val="333333"/>
          <w:sz w:val="21"/>
          <w:szCs w:val="21"/>
        </w:rPr>
      </w:pPr>
      <w:r w:rsidDel="00000000" w:rsidR="00000000" w:rsidRPr="00000000">
        <w:rPr>
          <w:rtl w:val="0"/>
        </w:rPr>
      </w:r>
    </w:p>
    <w:p w:rsidR="00000000" w:rsidDel="00000000" w:rsidP="00000000" w:rsidRDefault="00000000" w:rsidRPr="00000000" w14:paraId="00000044">
      <w:pPr>
        <w:shd w:fill="ffffff" w:val="clear"/>
        <w:spacing w:after="160" w:lineRule="auto"/>
        <w:jc w:val="both"/>
        <w:rPr>
          <w:color w:val="333333"/>
          <w:sz w:val="21"/>
          <w:szCs w:val="21"/>
        </w:rPr>
      </w:pPr>
      <w:r w:rsidDel="00000000" w:rsidR="00000000" w:rsidRPr="00000000">
        <w:rPr>
          <w:rtl w:val="0"/>
        </w:rPr>
      </w:r>
    </w:p>
    <w:p w:rsidR="00000000" w:rsidDel="00000000" w:rsidP="00000000" w:rsidRDefault="00000000" w:rsidRPr="00000000" w14:paraId="00000045">
      <w:pPr>
        <w:shd w:fill="ffffff" w:val="clear"/>
        <w:spacing w:after="160" w:lineRule="auto"/>
        <w:jc w:val="both"/>
        <w:rPr>
          <w:color w:val="333333"/>
          <w:sz w:val="21"/>
          <w:szCs w:val="21"/>
        </w:rPr>
      </w:pPr>
      <w:r w:rsidDel="00000000" w:rsidR="00000000" w:rsidRPr="00000000">
        <w:rPr>
          <w:rtl w:val="0"/>
        </w:rPr>
      </w:r>
    </w:p>
    <w:p w:rsidR="00000000" w:rsidDel="00000000" w:rsidP="00000000" w:rsidRDefault="00000000" w:rsidRPr="00000000" w14:paraId="00000046">
      <w:pPr>
        <w:shd w:fill="ffffff" w:val="clear"/>
        <w:ind w:left="80" w:firstLine="0"/>
        <w:jc w:val="both"/>
        <w:rPr>
          <w:color w:val="333333"/>
          <w:sz w:val="21"/>
          <w:szCs w:val="21"/>
        </w:rPr>
      </w:pPr>
      <w:r w:rsidDel="00000000" w:rsidR="00000000" w:rsidRPr="00000000">
        <w:rPr>
          <w:color w:val="333333"/>
          <w:sz w:val="21"/>
          <w:szCs w:val="21"/>
        </w:rPr>
        <w:drawing>
          <wp:inline distB="114300" distT="114300" distL="114300" distR="114300">
            <wp:extent cx="2647950" cy="1600200"/>
            <wp:effectExtent b="0" l="0" r="0" t="0"/>
            <wp:docPr id="3"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2647950" cy="160020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shd w:fill="ffffff" w:val="clear"/>
        <w:ind w:left="80" w:firstLine="0"/>
        <w:jc w:val="both"/>
        <w:rPr>
          <w:b w:val="1"/>
          <w:color w:val="428bca"/>
          <w:sz w:val="17"/>
          <w:szCs w:val="17"/>
          <w:u w:val="single"/>
        </w:rPr>
      </w:pPr>
      <w:r w:rsidDel="00000000" w:rsidR="00000000" w:rsidRPr="00000000">
        <w:rPr>
          <w:color w:val="333333"/>
          <w:sz w:val="21"/>
          <w:szCs w:val="21"/>
          <w:rtl w:val="0"/>
        </w:rPr>
        <w:t xml:space="preserve">        </w:t>
      </w:r>
      <w:hyperlink r:id="rId20">
        <w:r w:rsidDel="00000000" w:rsidR="00000000" w:rsidRPr="00000000">
          <w:rPr>
            <w:b w:val="1"/>
            <w:color w:val="428bca"/>
            <w:sz w:val="21"/>
            <w:szCs w:val="21"/>
            <w:u w:val="single"/>
            <w:rtl w:val="0"/>
          </w:rPr>
          <w:t xml:space="preserve">Fact Sheet</w:t>
        </w:r>
      </w:hyperlink>
      <w:r w:rsidDel="00000000" w:rsidR="00000000" w:rsidRPr="00000000">
        <w:rPr>
          <w:rtl w:val="0"/>
        </w:rPr>
        <w:t xml:space="preserve"> </w:t>
        <w:tab/>
      </w:r>
      <w:hyperlink r:id="rId21">
        <w:r w:rsidDel="00000000" w:rsidR="00000000" w:rsidRPr="00000000">
          <w:rPr>
            <w:b w:val="1"/>
            <w:color w:val="428bca"/>
            <w:sz w:val="21"/>
            <w:szCs w:val="21"/>
            <w:u w:val="single"/>
            <w:rtl w:val="0"/>
          </w:rPr>
          <w:t xml:space="preserve">LGBTI 2030 Agenda</w:t>
        </w:r>
      </w:hyperlink>
      <w:r w:rsidDel="00000000" w:rsidR="00000000" w:rsidRPr="00000000">
        <w:rPr>
          <w:rtl w:val="0"/>
        </w:rPr>
      </w:r>
    </w:p>
    <w:p w:rsidR="00000000" w:rsidDel="00000000" w:rsidP="00000000" w:rsidRDefault="00000000" w:rsidRPr="00000000" w14:paraId="00000048">
      <w:pPr>
        <w:shd w:fill="ffffff" w:val="clear"/>
        <w:spacing w:after="160" w:lineRule="auto"/>
        <w:jc w:val="both"/>
        <w:rPr>
          <w:color w:val="333333"/>
          <w:sz w:val="21"/>
          <w:szCs w:val="21"/>
        </w:rPr>
      </w:pPr>
      <w:r w:rsidDel="00000000" w:rsidR="00000000" w:rsidRPr="00000000">
        <w:rPr>
          <w:rtl w:val="0"/>
        </w:rPr>
      </w:r>
    </w:p>
    <w:p w:rsidR="00000000" w:rsidDel="00000000" w:rsidP="00000000" w:rsidRDefault="00000000" w:rsidRPr="00000000" w14:paraId="00000049">
      <w:pPr>
        <w:shd w:fill="ffffff" w:val="clear"/>
        <w:spacing w:after="160" w:lineRule="auto"/>
        <w:jc w:val="both"/>
        <w:rPr>
          <w:color w:val="333333"/>
          <w:sz w:val="21"/>
          <w:szCs w:val="21"/>
        </w:rPr>
      </w:pPr>
      <w:r w:rsidDel="00000000" w:rsidR="00000000" w:rsidRPr="00000000">
        <w:rPr>
          <w:color w:val="333333"/>
          <w:sz w:val="21"/>
          <w:szCs w:val="21"/>
          <w:rtl w:val="0"/>
        </w:rPr>
        <w:t xml:space="preserve">The background paper and fact sheets provide concrete recommendations that link the health and well-being of LGBTI people directly to the achievement of the 2030 Agenda. These can be a useful resource for civil society inputs into the VNR process.</w:t>
      </w:r>
    </w:p>
    <w:p w:rsidR="00000000" w:rsidDel="00000000" w:rsidP="00000000" w:rsidRDefault="00000000" w:rsidRPr="00000000" w14:paraId="0000004A">
      <w:pPr>
        <w:shd w:fill="ffffff" w:val="clear"/>
        <w:jc w:val="both"/>
        <w:rPr>
          <w:color w:val="333333"/>
          <w:sz w:val="21"/>
          <w:szCs w:val="21"/>
        </w:rPr>
      </w:pPr>
      <w:r w:rsidDel="00000000" w:rsidR="00000000" w:rsidRPr="00000000">
        <w:rPr>
          <w:color w:val="333333"/>
          <w:sz w:val="21"/>
          <w:szCs w:val="21"/>
        </w:rPr>
        <w:drawing>
          <wp:inline distB="114300" distT="114300" distL="114300" distR="114300">
            <wp:extent cx="2562225" cy="3076575"/>
            <wp:effectExtent b="0" l="0" r="0" t="0"/>
            <wp:docPr id="1" name="image3.png"/>
            <a:graphic>
              <a:graphicData uri="http://schemas.openxmlformats.org/drawingml/2006/picture">
                <pic:pic>
                  <pic:nvPicPr>
                    <pic:cNvPr id="0" name="image3.png"/>
                    <pic:cNvPicPr preferRelativeResize="0"/>
                  </pic:nvPicPr>
                  <pic:blipFill>
                    <a:blip r:embed="rId22"/>
                    <a:srcRect b="0" l="0" r="0" t="0"/>
                    <a:stretch>
                      <a:fillRect/>
                    </a:stretch>
                  </pic:blipFill>
                  <pic:spPr>
                    <a:xfrm>
                      <a:off x="0" y="0"/>
                      <a:ext cx="2562225" cy="3076575"/>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shd w:fill="ffffff" w:val="clear"/>
        <w:jc w:val="both"/>
        <w:rPr>
          <w:b w:val="1"/>
          <w:color w:val="428bca"/>
          <w:sz w:val="18"/>
          <w:szCs w:val="18"/>
          <w:u w:val="single"/>
        </w:rPr>
      </w:pPr>
      <w:r w:rsidDel="00000000" w:rsidR="00000000" w:rsidRPr="00000000">
        <w:rPr>
          <w:rtl w:val="0"/>
        </w:rPr>
      </w:r>
    </w:p>
    <w:p w:rsidR="00000000" w:rsidDel="00000000" w:rsidP="00000000" w:rsidRDefault="00000000" w:rsidRPr="00000000" w14:paraId="0000004C">
      <w:pPr>
        <w:shd w:fill="ffffff" w:val="clear"/>
        <w:jc w:val="both"/>
        <w:rPr>
          <w:b w:val="1"/>
          <w:color w:val="428bca"/>
          <w:sz w:val="21"/>
          <w:szCs w:val="21"/>
          <w:u w:val="single"/>
        </w:rPr>
      </w:pPr>
      <w:hyperlink r:id="rId23">
        <w:r w:rsidDel="00000000" w:rsidR="00000000" w:rsidRPr="00000000">
          <w:rPr>
            <w:b w:val="1"/>
            <w:color w:val="428bca"/>
            <w:sz w:val="21"/>
            <w:szCs w:val="21"/>
            <w:u w:val="single"/>
            <w:rtl w:val="0"/>
          </w:rPr>
          <w:t xml:space="preserve">See Report »</w:t>
        </w:r>
      </w:hyperlink>
      <w:r w:rsidDel="00000000" w:rsidR="00000000" w:rsidRPr="00000000">
        <w:rPr>
          <w:rtl w:val="0"/>
        </w:rPr>
      </w:r>
    </w:p>
    <w:p w:rsidR="00000000" w:rsidDel="00000000" w:rsidP="00000000" w:rsidRDefault="00000000" w:rsidRPr="00000000" w14:paraId="0000004D">
      <w:pPr>
        <w:shd w:fill="ffffff" w:val="clear"/>
        <w:spacing w:after="160" w:lineRule="auto"/>
        <w:jc w:val="both"/>
        <w:rPr>
          <w:color w:val="333333"/>
          <w:sz w:val="21"/>
          <w:szCs w:val="21"/>
        </w:rPr>
      </w:pPr>
      <w:r w:rsidDel="00000000" w:rsidR="00000000" w:rsidRPr="00000000">
        <w:rPr>
          <w:color w:val="333333"/>
          <w:sz w:val="21"/>
          <w:szCs w:val="21"/>
          <w:rtl w:val="0"/>
        </w:rPr>
        <w:t xml:space="preserve">In 2019 RFSL launched the “Guiding Principles on the Inclusion of Lesbian, Gay, Bisexual, Transgender, and Intersex People in Development Policy and Programs.”</w:t>
      </w:r>
      <w:r w:rsidDel="00000000" w:rsidR="00000000" w:rsidRPr="00000000">
        <w:rPr>
          <w:color w:val="333333"/>
          <w:sz w:val="17"/>
          <w:szCs w:val="17"/>
          <w:rtl w:val="0"/>
        </w:rPr>
        <w:t xml:space="preserve">5</w:t>
      </w:r>
      <w:r w:rsidDel="00000000" w:rsidR="00000000" w:rsidRPr="00000000">
        <w:rPr>
          <w:color w:val="333333"/>
          <w:sz w:val="21"/>
          <w:szCs w:val="21"/>
          <w:rtl w:val="0"/>
        </w:rPr>
        <w:t xml:space="preserve"> These guiding principles are meant to serve as a tool for all stakeholders in designing, implementing and monitoring international, national, and local development activities related to LGBTI people, with a vision to achieving the United Nations Agenda 2030 and other development priorities.</w:t>
      </w:r>
    </w:p>
    <w:p w:rsidR="00000000" w:rsidDel="00000000" w:rsidP="00000000" w:rsidRDefault="00000000" w:rsidRPr="00000000" w14:paraId="0000004E">
      <w:pPr>
        <w:shd w:fill="ffffff" w:val="clear"/>
        <w:jc w:val="both"/>
        <w:rPr>
          <w:color w:val="333333"/>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F">
      <w:pPr>
        <w:shd w:fill="ffffff" w:val="clear"/>
        <w:spacing w:after="160" w:lineRule="auto"/>
        <w:jc w:val="both"/>
        <w:rPr>
          <w:i w:val="1"/>
          <w:color w:val="a63212"/>
          <w:sz w:val="17"/>
          <w:szCs w:val="17"/>
          <w:u w:val="single"/>
        </w:rPr>
      </w:pPr>
      <w:r w:rsidDel="00000000" w:rsidR="00000000" w:rsidRPr="00000000">
        <w:rPr>
          <w:i w:val="1"/>
          <w:color w:val="a63212"/>
          <w:sz w:val="30"/>
          <w:szCs w:val="30"/>
          <w:u w:val="single"/>
          <w:rtl w:val="0"/>
        </w:rPr>
        <w:t xml:space="preserve">Civil Society and Stakeholders at HLPF</w:t>
      </w:r>
      <w:r w:rsidDel="00000000" w:rsidR="00000000" w:rsidRPr="00000000">
        <w:rPr>
          <w:rtl w:val="0"/>
        </w:rPr>
      </w:r>
    </w:p>
    <w:p w:rsidR="00000000" w:rsidDel="00000000" w:rsidP="00000000" w:rsidRDefault="00000000" w:rsidRPr="00000000" w14:paraId="00000050">
      <w:pPr>
        <w:shd w:fill="ffffff" w:val="clear"/>
        <w:spacing w:after="160" w:lineRule="auto"/>
        <w:jc w:val="both"/>
        <w:rPr>
          <w:color w:val="333333"/>
          <w:sz w:val="21"/>
          <w:szCs w:val="21"/>
        </w:rPr>
      </w:pPr>
      <w:r w:rsidDel="00000000" w:rsidR="00000000" w:rsidRPr="00000000">
        <w:rPr>
          <w:color w:val="333333"/>
          <w:sz w:val="21"/>
          <w:szCs w:val="21"/>
          <w:rtl w:val="0"/>
        </w:rPr>
        <w:t xml:space="preserve">Civil Society Organizations play a unique consultative role at the HLPF though the “Major and Other Stakeholders Groups” function, which is built into the structure of the forum. In implementing the SDGs at the national level, UN Member States are also mandated to seek maximum stakeholder involvement and transparency, and participation from Civil Society can help to facilitate this. Although the HLPF is an intergovernmental forum, Civil Society has access to all meetings and documents. Additionally, Civil Society can submit documents and make recommendations and interventions through these groups.</w:t>
      </w:r>
    </w:p>
    <w:p w:rsidR="00000000" w:rsidDel="00000000" w:rsidP="00000000" w:rsidRDefault="00000000" w:rsidRPr="00000000" w14:paraId="00000051">
      <w:pPr>
        <w:shd w:fill="ffffff" w:val="clear"/>
        <w:spacing w:after="160" w:lineRule="auto"/>
        <w:jc w:val="both"/>
        <w:rPr>
          <w:color w:val="333333"/>
          <w:sz w:val="21"/>
          <w:szCs w:val="21"/>
        </w:rPr>
      </w:pPr>
      <w:r w:rsidDel="00000000" w:rsidR="00000000" w:rsidRPr="00000000">
        <w:rPr>
          <w:color w:val="333333"/>
          <w:sz w:val="21"/>
          <w:szCs w:val="21"/>
          <w:rtl w:val="0"/>
        </w:rPr>
        <w:t xml:space="preserve">Within the Major and Other Stakeholders Groups system there are thirteen UN-formalized “sectors of society,” which act as the main channels through which Civil Society participation is facilitated in UN activities related to sustainable development. These are officially called ”Major Groups and Other Stakeholders“ (MGoS) and include the following sectors:</w:t>
      </w:r>
    </w:p>
    <w:p w:rsidR="00000000" w:rsidDel="00000000" w:rsidP="00000000" w:rsidRDefault="00000000" w:rsidRPr="00000000" w14:paraId="00000052">
      <w:pPr>
        <w:shd w:fill="ffffff" w:val="clear"/>
        <w:spacing w:after="160" w:lineRule="auto"/>
        <w:jc w:val="both"/>
        <w:rPr>
          <w:color w:val="333333"/>
          <w:sz w:val="21"/>
          <w:szCs w:val="21"/>
        </w:rPr>
      </w:pPr>
      <w:r w:rsidDel="00000000" w:rsidR="00000000" w:rsidRPr="00000000">
        <w:rPr>
          <w:rtl w:val="0"/>
        </w:rPr>
      </w:r>
    </w:p>
    <w:p w:rsidR="00000000" w:rsidDel="00000000" w:rsidP="00000000" w:rsidRDefault="00000000" w:rsidRPr="00000000" w14:paraId="00000053">
      <w:pPr>
        <w:numPr>
          <w:ilvl w:val="0"/>
          <w:numId w:val="8"/>
        </w:numPr>
        <w:spacing w:after="0" w:afterAutospacing="0" w:lineRule="auto"/>
        <w:ind w:left="720" w:hanging="360"/>
        <w:jc w:val="both"/>
        <w:rPr/>
      </w:pPr>
      <w:r w:rsidDel="00000000" w:rsidR="00000000" w:rsidRPr="00000000">
        <w:rPr>
          <w:color w:val="333333"/>
          <w:sz w:val="21"/>
          <w:szCs w:val="21"/>
          <w:rtl w:val="0"/>
        </w:rPr>
        <w:t xml:space="preserve">Women</w:t>
      </w:r>
    </w:p>
    <w:p w:rsidR="00000000" w:rsidDel="00000000" w:rsidP="00000000" w:rsidRDefault="00000000" w:rsidRPr="00000000" w14:paraId="00000054">
      <w:pPr>
        <w:numPr>
          <w:ilvl w:val="0"/>
          <w:numId w:val="8"/>
        </w:numPr>
        <w:spacing w:after="0" w:afterAutospacing="0" w:lineRule="auto"/>
        <w:ind w:left="720" w:hanging="360"/>
        <w:jc w:val="both"/>
        <w:rPr/>
      </w:pPr>
      <w:r w:rsidDel="00000000" w:rsidR="00000000" w:rsidRPr="00000000">
        <w:rPr>
          <w:color w:val="333333"/>
          <w:sz w:val="21"/>
          <w:szCs w:val="21"/>
          <w:rtl w:val="0"/>
        </w:rPr>
        <w:t xml:space="preserve">Children and Youth</w:t>
      </w:r>
    </w:p>
    <w:p w:rsidR="00000000" w:rsidDel="00000000" w:rsidP="00000000" w:rsidRDefault="00000000" w:rsidRPr="00000000" w14:paraId="00000055">
      <w:pPr>
        <w:numPr>
          <w:ilvl w:val="0"/>
          <w:numId w:val="8"/>
        </w:numPr>
        <w:spacing w:after="0" w:afterAutospacing="0" w:lineRule="auto"/>
        <w:ind w:left="720" w:hanging="360"/>
        <w:jc w:val="both"/>
        <w:rPr/>
      </w:pPr>
      <w:r w:rsidDel="00000000" w:rsidR="00000000" w:rsidRPr="00000000">
        <w:rPr>
          <w:color w:val="333333"/>
          <w:sz w:val="21"/>
          <w:szCs w:val="21"/>
          <w:rtl w:val="0"/>
        </w:rPr>
        <w:t xml:space="preserve">Indigenous Peoples</w:t>
      </w:r>
    </w:p>
    <w:p w:rsidR="00000000" w:rsidDel="00000000" w:rsidP="00000000" w:rsidRDefault="00000000" w:rsidRPr="00000000" w14:paraId="00000056">
      <w:pPr>
        <w:numPr>
          <w:ilvl w:val="0"/>
          <w:numId w:val="8"/>
        </w:numPr>
        <w:spacing w:after="0" w:afterAutospacing="0" w:lineRule="auto"/>
        <w:ind w:left="720" w:hanging="360"/>
        <w:jc w:val="both"/>
        <w:rPr/>
      </w:pPr>
      <w:r w:rsidDel="00000000" w:rsidR="00000000" w:rsidRPr="00000000">
        <w:rPr>
          <w:color w:val="333333"/>
          <w:sz w:val="21"/>
          <w:szCs w:val="21"/>
          <w:rtl w:val="0"/>
        </w:rPr>
        <w:t xml:space="preserve">Non-Governmental Organizations</w:t>
      </w:r>
    </w:p>
    <w:p w:rsidR="00000000" w:rsidDel="00000000" w:rsidP="00000000" w:rsidRDefault="00000000" w:rsidRPr="00000000" w14:paraId="00000057">
      <w:pPr>
        <w:numPr>
          <w:ilvl w:val="0"/>
          <w:numId w:val="8"/>
        </w:numPr>
        <w:spacing w:after="0" w:afterAutospacing="0" w:lineRule="auto"/>
        <w:ind w:left="720" w:hanging="360"/>
        <w:jc w:val="both"/>
        <w:rPr/>
      </w:pPr>
      <w:r w:rsidDel="00000000" w:rsidR="00000000" w:rsidRPr="00000000">
        <w:rPr>
          <w:color w:val="333333"/>
          <w:sz w:val="21"/>
          <w:szCs w:val="21"/>
          <w:rtl w:val="0"/>
        </w:rPr>
        <w:t xml:space="preserve">Local Authorities</w:t>
      </w:r>
    </w:p>
    <w:p w:rsidR="00000000" w:rsidDel="00000000" w:rsidP="00000000" w:rsidRDefault="00000000" w:rsidRPr="00000000" w14:paraId="00000058">
      <w:pPr>
        <w:numPr>
          <w:ilvl w:val="0"/>
          <w:numId w:val="8"/>
        </w:numPr>
        <w:spacing w:after="0" w:afterAutospacing="0" w:lineRule="auto"/>
        <w:ind w:left="720" w:hanging="360"/>
        <w:jc w:val="both"/>
        <w:rPr/>
      </w:pPr>
      <w:r w:rsidDel="00000000" w:rsidR="00000000" w:rsidRPr="00000000">
        <w:rPr>
          <w:color w:val="333333"/>
          <w:sz w:val="21"/>
          <w:szCs w:val="21"/>
          <w:rtl w:val="0"/>
        </w:rPr>
        <w:t xml:space="preserve">Workers and Trade Unions</w:t>
      </w:r>
    </w:p>
    <w:p w:rsidR="00000000" w:rsidDel="00000000" w:rsidP="00000000" w:rsidRDefault="00000000" w:rsidRPr="00000000" w14:paraId="00000059">
      <w:pPr>
        <w:numPr>
          <w:ilvl w:val="0"/>
          <w:numId w:val="8"/>
        </w:numPr>
        <w:spacing w:after="0" w:afterAutospacing="0" w:lineRule="auto"/>
        <w:ind w:left="720" w:hanging="360"/>
        <w:jc w:val="both"/>
        <w:rPr/>
      </w:pPr>
      <w:r w:rsidDel="00000000" w:rsidR="00000000" w:rsidRPr="00000000">
        <w:rPr>
          <w:color w:val="333333"/>
          <w:sz w:val="21"/>
          <w:szCs w:val="21"/>
          <w:rtl w:val="0"/>
        </w:rPr>
        <w:t xml:space="preserve">Business and Industry</w:t>
      </w:r>
    </w:p>
    <w:p w:rsidR="00000000" w:rsidDel="00000000" w:rsidP="00000000" w:rsidRDefault="00000000" w:rsidRPr="00000000" w14:paraId="0000005A">
      <w:pPr>
        <w:numPr>
          <w:ilvl w:val="0"/>
          <w:numId w:val="8"/>
        </w:numPr>
        <w:spacing w:after="0" w:afterAutospacing="0" w:lineRule="auto"/>
        <w:ind w:left="720" w:hanging="360"/>
        <w:jc w:val="both"/>
        <w:rPr/>
      </w:pPr>
      <w:r w:rsidDel="00000000" w:rsidR="00000000" w:rsidRPr="00000000">
        <w:rPr>
          <w:color w:val="333333"/>
          <w:sz w:val="21"/>
          <w:szCs w:val="21"/>
          <w:rtl w:val="0"/>
        </w:rPr>
        <w:t xml:space="preserve">Scientific and Technological Community</w:t>
      </w:r>
    </w:p>
    <w:p w:rsidR="00000000" w:rsidDel="00000000" w:rsidP="00000000" w:rsidRDefault="00000000" w:rsidRPr="00000000" w14:paraId="0000005B">
      <w:pPr>
        <w:numPr>
          <w:ilvl w:val="0"/>
          <w:numId w:val="8"/>
        </w:numPr>
        <w:spacing w:after="160" w:lineRule="auto"/>
        <w:ind w:left="720" w:hanging="360"/>
        <w:jc w:val="both"/>
        <w:rPr/>
      </w:pPr>
      <w:r w:rsidDel="00000000" w:rsidR="00000000" w:rsidRPr="00000000">
        <w:rPr>
          <w:color w:val="333333"/>
          <w:sz w:val="21"/>
          <w:szCs w:val="21"/>
          <w:rtl w:val="0"/>
        </w:rPr>
        <w:t xml:space="preserve">Farmers</w:t>
      </w:r>
    </w:p>
    <w:p w:rsidR="00000000" w:rsidDel="00000000" w:rsidP="00000000" w:rsidRDefault="00000000" w:rsidRPr="00000000" w14:paraId="0000005C">
      <w:pPr>
        <w:shd w:fill="ffffff" w:val="clear"/>
        <w:spacing w:after="160" w:lineRule="auto"/>
        <w:jc w:val="both"/>
        <w:rPr>
          <w:color w:val="333333"/>
          <w:sz w:val="21"/>
          <w:szCs w:val="21"/>
        </w:rPr>
      </w:pPr>
      <w:r w:rsidDel="00000000" w:rsidR="00000000" w:rsidRPr="00000000">
        <w:rPr>
          <w:color w:val="333333"/>
          <w:sz w:val="21"/>
          <w:szCs w:val="21"/>
          <w:rtl w:val="0"/>
        </w:rPr>
        <w:t xml:space="preserve">Other Stakeholders include groups focused on:</w:t>
      </w:r>
    </w:p>
    <w:p w:rsidR="00000000" w:rsidDel="00000000" w:rsidP="00000000" w:rsidRDefault="00000000" w:rsidRPr="00000000" w14:paraId="0000005D">
      <w:pPr>
        <w:numPr>
          <w:ilvl w:val="0"/>
          <w:numId w:val="9"/>
        </w:numPr>
        <w:spacing w:after="0" w:afterAutospacing="0" w:lineRule="auto"/>
        <w:ind w:left="720" w:hanging="360"/>
        <w:jc w:val="both"/>
        <w:rPr/>
      </w:pPr>
      <w:r w:rsidDel="00000000" w:rsidR="00000000" w:rsidRPr="00000000">
        <w:rPr>
          <w:color w:val="333333"/>
          <w:sz w:val="21"/>
          <w:szCs w:val="21"/>
          <w:rtl w:val="0"/>
        </w:rPr>
        <w:t xml:space="preserve">Persons with Disabilities</w:t>
      </w:r>
    </w:p>
    <w:p w:rsidR="00000000" w:rsidDel="00000000" w:rsidP="00000000" w:rsidRDefault="00000000" w:rsidRPr="00000000" w14:paraId="0000005E">
      <w:pPr>
        <w:numPr>
          <w:ilvl w:val="0"/>
          <w:numId w:val="9"/>
        </w:numPr>
        <w:spacing w:after="0" w:afterAutospacing="0" w:lineRule="auto"/>
        <w:ind w:left="720" w:hanging="360"/>
        <w:jc w:val="both"/>
        <w:rPr/>
      </w:pPr>
      <w:r w:rsidDel="00000000" w:rsidR="00000000" w:rsidRPr="00000000">
        <w:rPr>
          <w:color w:val="333333"/>
          <w:sz w:val="21"/>
          <w:szCs w:val="21"/>
          <w:rtl w:val="0"/>
        </w:rPr>
        <w:t xml:space="preserve">Volunteers</w:t>
      </w:r>
    </w:p>
    <w:p w:rsidR="00000000" w:rsidDel="00000000" w:rsidP="00000000" w:rsidRDefault="00000000" w:rsidRPr="00000000" w14:paraId="0000005F">
      <w:pPr>
        <w:numPr>
          <w:ilvl w:val="0"/>
          <w:numId w:val="9"/>
        </w:numPr>
        <w:spacing w:after="0" w:afterAutospacing="0" w:lineRule="auto"/>
        <w:ind w:left="720" w:hanging="360"/>
        <w:jc w:val="both"/>
        <w:rPr/>
      </w:pPr>
      <w:r w:rsidDel="00000000" w:rsidR="00000000" w:rsidRPr="00000000">
        <w:rPr>
          <w:color w:val="333333"/>
          <w:sz w:val="21"/>
          <w:szCs w:val="21"/>
          <w:rtl w:val="0"/>
        </w:rPr>
        <w:t xml:space="preserve">Ageing</w:t>
      </w:r>
    </w:p>
    <w:p w:rsidR="00000000" w:rsidDel="00000000" w:rsidP="00000000" w:rsidRDefault="00000000" w:rsidRPr="00000000" w14:paraId="00000060">
      <w:pPr>
        <w:numPr>
          <w:ilvl w:val="0"/>
          <w:numId w:val="9"/>
        </w:numPr>
        <w:spacing w:after="0" w:afterAutospacing="0" w:lineRule="auto"/>
        <w:ind w:left="720" w:hanging="360"/>
        <w:jc w:val="both"/>
        <w:rPr/>
      </w:pPr>
      <w:r w:rsidDel="00000000" w:rsidR="00000000" w:rsidRPr="00000000">
        <w:rPr>
          <w:color w:val="333333"/>
          <w:sz w:val="21"/>
          <w:szCs w:val="21"/>
          <w:rtl w:val="0"/>
        </w:rPr>
        <w:t xml:space="preserve">Education and Academia</w:t>
      </w:r>
    </w:p>
    <w:p w:rsidR="00000000" w:rsidDel="00000000" w:rsidP="00000000" w:rsidRDefault="00000000" w:rsidRPr="00000000" w14:paraId="00000061">
      <w:pPr>
        <w:numPr>
          <w:ilvl w:val="0"/>
          <w:numId w:val="9"/>
        </w:numPr>
        <w:spacing w:after="0" w:afterAutospacing="0" w:lineRule="auto"/>
        <w:ind w:left="720" w:hanging="360"/>
        <w:jc w:val="both"/>
        <w:rPr/>
      </w:pPr>
      <w:r w:rsidDel="00000000" w:rsidR="00000000" w:rsidRPr="00000000">
        <w:rPr>
          <w:color w:val="333333"/>
          <w:sz w:val="21"/>
          <w:szCs w:val="21"/>
          <w:rtl w:val="0"/>
        </w:rPr>
        <w:t xml:space="preserve">Sendai (Framework for Disaster Risk Reduction)</w:t>
      </w:r>
    </w:p>
    <w:p w:rsidR="00000000" w:rsidDel="00000000" w:rsidP="00000000" w:rsidRDefault="00000000" w:rsidRPr="00000000" w14:paraId="00000062">
      <w:pPr>
        <w:numPr>
          <w:ilvl w:val="0"/>
          <w:numId w:val="9"/>
        </w:numPr>
        <w:spacing w:after="0" w:afterAutospacing="0" w:lineRule="auto"/>
        <w:ind w:left="720" w:hanging="360"/>
        <w:jc w:val="both"/>
        <w:rPr/>
      </w:pPr>
      <w:r w:rsidDel="00000000" w:rsidR="00000000" w:rsidRPr="00000000">
        <w:rPr>
          <w:color w:val="333333"/>
          <w:sz w:val="21"/>
          <w:szCs w:val="21"/>
          <w:rtl w:val="0"/>
        </w:rPr>
        <w:t xml:space="preserve">Asia Pacific RCEM (Regional Civil Society Engagement Mechanism)</w:t>
      </w:r>
    </w:p>
    <w:p w:rsidR="00000000" w:rsidDel="00000000" w:rsidP="00000000" w:rsidRDefault="00000000" w:rsidRPr="00000000" w14:paraId="00000063">
      <w:pPr>
        <w:numPr>
          <w:ilvl w:val="0"/>
          <w:numId w:val="9"/>
        </w:numPr>
        <w:spacing w:after="160" w:lineRule="auto"/>
        <w:ind w:left="720" w:hanging="360"/>
        <w:jc w:val="both"/>
        <w:rPr/>
      </w:pPr>
      <w:r w:rsidDel="00000000" w:rsidR="00000000" w:rsidRPr="00000000">
        <w:rPr>
          <w:color w:val="333333"/>
          <w:sz w:val="21"/>
          <w:szCs w:val="21"/>
          <w:rtl w:val="0"/>
        </w:rPr>
        <w:t xml:space="preserve">LGBTI</w:t>
      </w:r>
    </w:p>
    <w:p w:rsidR="00000000" w:rsidDel="00000000" w:rsidP="00000000" w:rsidRDefault="00000000" w:rsidRPr="00000000" w14:paraId="00000064">
      <w:pPr>
        <w:shd w:fill="ffffff" w:val="clear"/>
        <w:spacing w:after="160" w:lineRule="auto"/>
        <w:jc w:val="both"/>
        <w:rPr>
          <w:color w:val="333333"/>
          <w:sz w:val="21"/>
          <w:szCs w:val="21"/>
        </w:rPr>
      </w:pPr>
      <w:r w:rsidDel="00000000" w:rsidR="00000000" w:rsidRPr="00000000">
        <w:rPr>
          <w:rtl w:val="0"/>
        </w:rPr>
      </w:r>
    </w:p>
    <w:p w:rsidR="00000000" w:rsidDel="00000000" w:rsidP="00000000" w:rsidRDefault="00000000" w:rsidRPr="00000000" w14:paraId="00000065">
      <w:pPr>
        <w:shd w:fill="ffffff" w:val="clear"/>
        <w:spacing w:after="160" w:lineRule="auto"/>
        <w:jc w:val="both"/>
        <w:rPr>
          <w:color w:val="333333"/>
          <w:sz w:val="21"/>
          <w:szCs w:val="21"/>
        </w:rPr>
      </w:pPr>
      <w:r w:rsidDel="00000000" w:rsidR="00000000" w:rsidRPr="00000000">
        <w:rPr>
          <w:color w:val="333333"/>
          <w:sz w:val="21"/>
          <w:szCs w:val="21"/>
          <w:rtl w:val="0"/>
        </w:rPr>
        <w:t xml:space="preserve">2019 HLPF was the first session when the LGBTI Stakeholders Group was a formally recognized entity within the MGoS structure. Apart from working as a Stakeholder Group, we will continue engaging with all other MGoS, civil society organizations, activists, human rights defenders and development practitioners present at HLPF to maximize our opportunities. </w:t>
      </w:r>
    </w:p>
    <w:p w:rsidR="00000000" w:rsidDel="00000000" w:rsidP="00000000" w:rsidRDefault="00000000" w:rsidRPr="00000000" w14:paraId="00000066">
      <w:pPr>
        <w:shd w:fill="ffffff" w:val="clear"/>
        <w:spacing w:after="160" w:lineRule="auto"/>
        <w:jc w:val="both"/>
        <w:rPr>
          <w:rFonts w:ascii="Verdana" w:cs="Verdana" w:eastAsia="Verdana" w:hAnsi="Verdana"/>
          <w:color w:val="222222"/>
          <w:highlight w:val="white"/>
        </w:rPr>
      </w:pPr>
      <w:r w:rsidDel="00000000" w:rsidR="00000000" w:rsidRPr="00000000">
        <w:rPr>
          <w:color w:val="333333"/>
          <w:sz w:val="21"/>
          <w:szCs w:val="21"/>
          <w:rtl w:val="0"/>
        </w:rPr>
        <w:t xml:space="preserve">To register as part of the LGBTI Stakeholder Group listserv, use the following link: </w:t>
      </w:r>
      <w:hyperlink r:id="rId24">
        <w:r w:rsidDel="00000000" w:rsidR="00000000" w:rsidRPr="00000000">
          <w:rPr>
            <w:rFonts w:ascii="Verdana" w:cs="Verdana" w:eastAsia="Verdana" w:hAnsi="Verdana"/>
            <w:color w:val="1155cc"/>
            <w:highlight w:val="white"/>
            <w:u w:val="single"/>
            <w:rtl w:val="0"/>
          </w:rPr>
          <w:t xml:space="preserve">https://forms.gle/2J13MEnuqraENW6P6</w:t>
        </w:r>
      </w:hyperlink>
      <w:r w:rsidDel="00000000" w:rsidR="00000000" w:rsidRPr="00000000">
        <w:rPr>
          <w:rFonts w:ascii="Verdana" w:cs="Verdana" w:eastAsia="Verdana" w:hAnsi="Verdana"/>
          <w:color w:val="222222"/>
          <w:highlight w:val="white"/>
          <w:rtl w:val="0"/>
        </w:rPr>
        <w:t xml:space="preserve"> </w:t>
      </w:r>
    </w:p>
    <w:p w:rsidR="00000000" w:rsidDel="00000000" w:rsidP="00000000" w:rsidRDefault="00000000" w:rsidRPr="00000000" w14:paraId="00000067">
      <w:pPr>
        <w:shd w:fill="ffffff" w:val="clear"/>
        <w:spacing w:after="160" w:lineRule="auto"/>
        <w:jc w:val="both"/>
        <w:rPr>
          <w:rFonts w:ascii="Verdana" w:cs="Verdana" w:eastAsia="Verdana" w:hAnsi="Verdana"/>
          <w:color w:val="222222"/>
          <w:highlight w:val="white"/>
        </w:rPr>
      </w:pPr>
      <w:r w:rsidDel="00000000" w:rsidR="00000000" w:rsidRPr="00000000">
        <w:rPr>
          <w:rtl w:val="0"/>
        </w:rPr>
      </w:r>
    </w:p>
    <w:p w:rsidR="00000000" w:rsidDel="00000000" w:rsidP="00000000" w:rsidRDefault="00000000" w:rsidRPr="00000000" w14:paraId="00000068">
      <w:pPr>
        <w:shd w:fill="ffffff" w:val="clear"/>
        <w:spacing w:after="160" w:lineRule="auto"/>
        <w:jc w:val="both"/>
        <w:rPr>
          <w:color w:val="a63212"/>
          <w:sz w:val="30"/>
          <w:szCs w:val="30"/>
        </w:rPr>
      </w:pPr>
      <w:r w:rsidDel="00000000" w:rsidR="00000000" w:rsidRPr="00000000">
        <w:rPr>
          <w:color w:val="a63212"/>
          <w:sz w:val="30"/>
          <w:szCs w:val="30"/>
          <w:rtl w:val="0"/>
        </w:rPr>
        <w:t xml:space="preserve">COVID-19 Statement of LGBTQI Stakeholder Group</w:t>
      </w:r>
    </w:p>
    <w:p w:rsidR="00000000" w:rsidDel="00000000" w:rsidP="00000000" w:rsidRDefault="00000000" w:rsidRPr="00000000" w14:paraId="00000069">
      <w:pPr>
        <w:shd w:fill="ffffff" w:val="clear"/>
        <w:spacing w:after="160" w:lineRule="auto"/>
        <w:jc w:val="both"/>
        <w:rPr>
          <w:color w:val="333333"/>
          <w:sz w:val="21"/>
          <w:szCs w:val="21"/>
        </w:rPr>
      </w:pPr>
      <w:r w:rsidDel="00000000" w:rsidR="00000000" w:rsidRPr="00000000">
        <w:rPr>
          <w:sz w:val="21"/>
          <w:szCs w:val="21"/>
          <w:rtl w:val="0"/>
        </w:rPr>
        <w:t xml:space="preserve">This year LGBTI stakeholders published a statement, where the group urges governments </w:t>
      </w:r>
      <w:r w:rsidDel="00000000" w:rsidR="00000000" w:rsidRPr="00000000">
        <w:rPr>
          <w:color w:val="333333"/>
          <w:sz w:val="21"/>
          <w:szCs w:val="21"/>
          <w:rtl w:val="0"/>
        </w:rPr>
        <w:t xml:space="preserve">to adopt strong and inclusive policies and measures that effectively consult and engage communities, including: </w:t>
      </w:r>
    </w:p>
    <w:p w:rsidR="00000000" w:rsidDel="00000000" w:rsidP="00000000" w:rsidRDefault="00000000" w:rsidRPr="00000000" w14:paraId="0000006A">
      <w:pPr>
        <w:numPr>
          <w:ilvl w:val="0"/>
          <w:numId w:val="6"/>
        </w:numPr>
        <w:shd w:fill="ffffff" w:val="clear"/>
        <w:spacing w:after="0" w:afterAutospacing="0" w:lineRule="auto"/>
        <w:ind w:left="720" w:hanging="360"/>
        <w:rPr>
          <w:sz w:val="21"/>
          <w:szCs w:val="21"/>
        </w:rPr>
      </w:pPr>
      <w:r w:rsidDel="00000000" w:rsidR="00000000" w:rsidRPr="00000000">
        <w:rPr>
          <w:color w:val="333333"/>
          <w:sz w:val="21"/>
          <w:szCs w:val="21"/>
          <w:rtl w:val="0"/>
        </w:rPr>
        <w:t xml:space="preserve">Consistently and strongly holding service providers, law enforcement, and policymakers accountable for discrimination and human rights violations;</w:t>
      </w:r>
    </w:p>
    <w:p w:rsidR="00000000" w:rsidDel="00000000" w:rsidP="00000000" w:rsidRDefault="00000000" w:rsidRPr="00000000" w14:paraId="0000006B">
      <w:pPr>
        <w:numPr>
          <w:ilvl w:val="0"/>
          <w:numId w:val="6"/>
        </w:numPr>
        <w:shd w:fill="ffffff" w:val="clear"/>
        <w:spacing w:after="0" w:afterAutospacing="0" w:lineRule="auto"/>
        <w:ind w:left="720" w:hanging="360"/>
        <w:rPr>
          <w:sz w:val="21"/>
          <w:szCs w:val="21"/>
        </w:rPr>
      </w:pPr>
      <w:r w:rsidDel="00000000" w:rsidR="00000000" w:rsidRPr="00000000">
        <w:rPr>
          <w:color w:val="333333"/>
          <w:sz w:val="21"/>
          <w:szCs w:val="21"/>
          <w:rtl w:val="0"/>
        </w:rPr>
        <w:t xml:space="preserve">Fully funding community-led monitoring and reporting initiatives for LGBTI human rights at the national, regional and international levels to assist with accountability and other program improvements;</w:t>
      </w:r>
    </w:p>
    <w:p w:rsidR="00000000" w:rsidDel="00000000" w:rsidP="00000000" w:rsidRDefault="00000000" w:rsidRPr="00000000" w14:paraId="0000006C">
      <w:pPr>
        <w:numPr>
          <w:ilvl w:val="0"/>
          <w:numId w:val="6"/>
        </w:numPr>
        <w:shd w:fill="ffffff" w:val="clear"/>
        <w:spacing w:after="0" w:afterAutospacing="0" w:lineRule="auto"/>
        <w:ind w:left="720" w:hanging="360"/>
        <w:rPr>
          <w:sz w:val="21"/>
          <w:szCs w:val="21"/>
        </w:rPr>
      </w:pPr>
      <w:r w:rsidDel="00000000" w:rsidR="00000000" w:rsidRPr="00000000">
        <w:rPr>
          <w:color w:val="333333"/>
          <w:sz w:val="21"/>
          <w:szCs w:val="21"/>
          <w:rtl w:val="0"/>
        </w:rPr>
        <w:t xml:space="preserve">Meaningfully including LGBTI people in all decision-making processes concerning them; </w:t>
      </w:r>
    </w:p>
    <w:p w:rsidR="00000000" w:rsidDel="00000000" w:rsidP="00000000" w:rsidRDefault="00000000" w:rsidRPr="00000000" w14:paraId="0000006D">
      <w:pPr>
        <w:numPr>
          <w:ilvl w:val="0"/>
          <w:numId w:val="6"/>
        </w:numPr>
        <w:shd w:fill="ffffff" w:val="clear"/>
        <w:spacing w:after="0" w:afterAutospacing="0" w:lineRule="auto"/>
        <w:ind w:left="720" w:hanging="360"/>
        <w:rPr>
          <w:sz w:val="21"/>
          <w:szCs w:val="21"/>
        </w:rPr>
      </w:pPr>
      <w:r w:rsidDel="00000000" w:rsidR="00000000" w:rsidRPr="00000000">
        <w:rPr>
          <w:color w:val="333333"/>
          <w:sz w:val="21"/>
          <w:szCs w:val="21"/>
          <w:rtl w:val="0"/>
        </w:rPr>
        <w:t xml:space="preserve">Amplifying the needs of LGBTI people in social protections and welfare programs; </w:t>
      </w:r>
    </w:p>
    <w:p w:rsidR="00000000" w:rsidDel="00000000" w:rsidP="00000000" w:rsidRDefault="00000000" w:rsidRPr="00000000" w14:paraId="0000006E">
      <w:pPr>
        <w:numPr>
          <w:ilvl w:val="0"/>
          <w:numId w:val="6"/>
        </w:numPr>
        <w:shd w:fill="ffffff" w:val="clear"/>
        <w:spacing w:after="0" w:afterAutospacing="0" w:lineRule="auto"/>
        <w:ind w:left="720" w:hanging="360"/>
        <w:rPr>
          <w:sz w:val="21"/>
          <w:szCs w:val="21"/>
        </w:rPr>
      </w:pPr>
      <w:r w:rsidDel="00000000" w:rsidR="00000000" w:rsidRPr="00000000">
        <w:rPr>
          <w:color w:val="333333"/>
          <w:sz w:val="21"/>
          <w:szCs w:val="21"/>
          <w:rtl w:val="0"/>
        </w:rPr>
        <w:t xml:space="preserve">Fully funding community-based and LGBTI-led organizations to strengthen over taxed and under-capacitated public health systems; </w:t>
      </w:r>
    </w:p>
    <w:p w:rsidR="00000000" w:rsidDel="00000000" w:rsidP="00000000" w:rsidRDefault="00000000" w:rsidRPr="00000000" w14:paraId="0000006F">
      <w:pPr>
        <w:numPr>
          <w:ilvl w:val="0"/>
          <w:numId w:val="6"/>
        </w:numPr>
        <w:shd w:fill="ffffff" w:val="clear"/>
        <w:spacing w:after="0" w:afterAutospacing="0" w:lineRule="auto"/>
        <w:ind w:left="720" w:hanging="360"/>
        <w:rPr>
          <w:sz w:val="21"/>
          <w:szCs w:val="21"/>
        </w:rPr>
      </w:pPr>
      <w:r w:rsidDel="00000000" w:rsidR="00000000" w:rsidRPr="00000000">
        <w:rPr>
          <w:color w:val="333333"/>
          <w:sz w:val="21"/>
          <w:szCs w:val="21"/>
          <w:rtl w:val="0"/>
        </w:rPr>
        <w:t xml:space="preserve">Implementing self-care health interventions in health systems, such as self-collecting of samples for sexually transmitted infections and HIV self-testing kits; and </w:t>
      </w:r>
    </w:p>
    <w:p w:rsidR="00000000" w:rsidDel="00000000" w:rsidP="00000000" w:rsidRDefault="00000000" w:rsidRPr="00000000" w14:paraId="00000070">
      <w:pPr>
        <w:numPr>
          <w:ilvl w:val="0"/>
          <w:numId w:val="6"/>
        </w:numPr>
        <w:shd w:fill="ffffff" w:val="clear"/>
        <w:spacing w:after="160" w:lineRule="auto"/>
        <w:ind w:left="720" w:hanging="360"/>
        <w:rPr>
          <w:sz w:val="21"/>
          <w:szCs w:val="21"/>
        </w:rPr>
      </w:pPr>
      <w:r w:rsidDel="00000000" w:rsidR="00000000" w:rsidRPr="00000000">
        <w:rPr>
          <w:color w:val="333333"/>
          <w:sz w:val="21"/>
          <w:szCs w:val="21"/>
          <w:rtl w:val="0"/>
        </w:rPr>
        <w:t xml:space="preserve">Enacting efforts to realize Universal Health Coverage.</w:t>
      </w:r>
    </w:p>
    <w:p w:rsidR="00000000" w:rsidDel="00000000" w:rsidP="00000000" w:rsidRDefault="00000000" w:rsidRPr="00000000" w14:paraId="00000071">
      <w:pPr>
        <w:shd w:fill="ffffff" w:val="clear"/>
        <w:spacing w:after="160" w:lineRule="auto"/>
        <w:jc w:val="both"/>
        <w:rPr>
          <w:sz w:val="21"/>
          <w:szCs w:val="21"/>
        </w:rPr>
      </w:pPr>
      <w:r w:rsidDel="00000000" w:rsidR="00000000" w:rsidRPr="00000000">
        <w:rPr>
          <w:rtl w:val="0"/>
        </w:rPr>
      </w:r>
    </w:p>
    <w:p w:rsidR="00000000" w:rsidDel="00000000" w:rsidP="00000000" w:rsidRDefault="00000000" w:rsidRPr="00000000" w14:paraId="00000072">
      <w:pPr>
        <w:shd w:fill="ffffff" w:val="clear"/>
        <w:spacing w:after="160" w:lineRule="auto"/>
        <w:jc w:val="both"/>
        <w:rPr>
          <w:sz w:val="21"/>
          <w:szCs w:val="21"/>
        </w:rPr>
      </w:pPr>
      <w:hyperlink r:id="rId25">
        <w:r w:rsidDel="00000000" w:rsidR="00000000" w:rsidRPr="00000000">
          <w:rPr>
            <w:color w:val="1155cc"/>
            <w:sz w:val="21"/>
            <w:szCs w:val="21"/>
            <w:u w:val="single"/>
            <w:rtl w:val="0"/>
          </w:rPr>
          <w:t xml:space="preserve">Click here for the full statement</w:t>
        </w:r>
      </w:hyperlink>
      <w:r w:rsidDel="00000000" w:rsidR="00000000" w:rsidRPr="00000000">
        <w:rPr>
          <w:rtl w:val="0"/>
        </w:rPr>
      </w:r>
    </w:p>
    <w:p w:rsidR="00000000" w:rsidDel="00000000" w:rsidP="00000000" w:rsidRDefault="00000000" w:rsidRPr="00000000" w14:paraId="00000073">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74">
      <w:pPr>
        <w:shd w:fill="ffffff" w:val="clear"/>
        <w:jc w:val="both"/>
        <w:rPr>
          <w:color w:val="333333"/>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5">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76">
      <w:pPr>
        <w:shd w:fill="ffffff" w:val="clear"/>
        <w:spacing w:after="160" w:lineRule="auto"/>
        <w:jc w:val="both"/>
        <w:rPr>
          <w:color w:val="a63212"/>
          <w:sz w:val="30"/>
          <w:szCs w:val="30"/>
        </w:rPr>
      </w:pPr>
      <w:r w:rsidDel="00000000" w:rsidR="00000000" w:rsidRPr="00000000">
        <w:rPr>
          <w:color w:val="a63212"/>
          <w:sz w:val="30"/>
          <w:szCs w:val="30"/>
          <w:rtl w:val="0"/>
        </w:rPr>
        <w:t xml:space="preserve">Side Events at HLPF</w:t>
      </w:r>
    </w:p>
    <w:p w:rsidR="00000000" w:rsidDel="00000000" w:rsidP="00000000" w:rsidRDefault="00000000" w:rsidRPr="00000000" w14:paraId="00000077">
      <w:pPr>
        <w:shd w:fill="ffffff" w:val="clear"/>
        <w:spacing w:after="160" w:lineRule="auto"/>
        <w:jc w:val="both"/>
        <w:rPr>
          <w:color w:val="333333"/>
          <w:sz w:val="21"/>
          <w:szCs w:val="21"/>
        </w:rPr>
      </w:pPr>
      <w:r w:rsidDel="00000000" w:rsidR="00000000" w:rsidRPr="00000000">
        <w:rPr>
          <w:color w:val="333333"/>
          <w:sz w:val="21"/>
          <w:szCs w:val="21"/>
          <w:rtl w:val="0"/>
        </w:rPr>
        <w:t xml:space="preserve">Organizations can host formal side events during the HLPF that explore issues relevant to the theme and focus goals of the HLPF. Due to space restrictions, often multiple organizations will host a collective side event, this also helps provide varying perspectives and information. Official side events take place with co-sponsorships by UN Member States and UN Agencies.</w:t>
      </w:r>
    </w:p>
    <w:p w:rsidR="00000000" w:rsidDel="00000000" w:rsidP="00000000" w:rsidRDefault="00000000" w:rsidRPr="00000000" w14:paraId="00000078">
      <w:pPr>
        <w:shd w:fill="ffffff" w:val="clear"/>
        <w:spacing w:after="160" w:lineRule="auto"/>
        <w:jc w:val="both"/>
        <w:rPr>
          <w:sz w:val="21"/>
          <w:szCs w:val="21"/>
        </w:rPr>
      </w:pPr>
      <w:r w:rsidDel="00000000" w:rsidR="00000000" w:rsidRPr="00000000">
        <w:rPr>
          <w:color w:val="333333"/>
          <w:sz w:val="21"/>
          <w:szCs w:val="21"/>
          <w:rtl w:val="0"/>
        </w:rPr>
        <w:t xml:space="preserve">These events offer vital opportunities for civil society to contribute to the overall dialogue, even if their areas of expertise and focus are not included in the current HLPF theme or outcome. Building </w:t>
      </w:r>
      <w:r w:rsidDel="00000000" w:rsidR="00000000" w:rsidRPr="00000000">
        <w:rPr>
          <w:sz w:val="21"/>
          <w:szCs w:val="21"/>
          <w:rtl w:val="0"/>
        </w:rPr>
        <w:t xml:space="preserve">solidarity is a critical part of the mission of HLPF.</w:t>
      </w:r>
    </w:p>
    <w:p w:rsidR="00000000" w:rsidDel="00000000" w:rsidP="00000000" w:rsidRDefault="00000000" w:rsidRPr="00000000" w14:paraId="00000079">
      <w:pPr>
        <w:shd w:fill="ffffff" w:val="clear"/>
        <w:spacing w:after="160" w:lineRule="auto"/>
        <w:jc w:val="both"/>
        <w:rPr>
          <w:i w:val="1"/>
          <w:sz w:val="20"/>
          <w:szCs w:val="20"/>
        </w:rPr>
      </w:pPr>
      <w:r w:rsidDel="00000000" w:rsidR="00000000" w:rsidRPr="00000000">
        <w:rPr>
          <w:sz w:val="21"/>
          <w:szCs w:val="21"/>
          <w:highlight w:val="white"/>
          <w:rtl w:val="0"/>
        </w:rPr>
        <w:t xml:space="preserve">This year all Side-events and Exhibitions will be held virtually. Further information can be found under </w:t>
      </w:r>
      <w:hyperlink r:id="rId26">
        <w:r w:rsidDel="00000000" w:rsidR="00000000" w:rsidRPr="00000000">
          <w:rPr>
            <w:sz w:val="21"/>
            <w:szCs w:val="21"/>
            <w:highlight w:val="white"/>
            <w:u w:val="single"/>
            <w:rtl w:val="0"/>
          </w:rPr>
          <w:t xml:space="preserve">Other Events</w:t>
        </w:r>
      </w:hyperlink>
      <w:r w:rsidDel="00000000" w:rsidR="00000000" w:rsidRPr="00000000">
        <w:rPr>
          <w:sz w:val="21"/>
          <w:szCs w:val="21"/>
          <w:highlight w:val="white"/>
          <w:rtl w:val="0"/>
        </w:rPr>
        <w:t xml:space="preserve"> on the HLPF 2020 website.</w:t>
      </w:r>
      <w:r w:rsidDel="00000000" w:rsidR="00000000" w:rsidRPr="00000000">
        <w:rPr>
          <w:rtl w:val="0"/>
        </w:rPr>
      </w:r>
    </w:p>
    <w:p w:rsidR="00000000" w:rsidDel="00000000" w:rsidP="00000000" w:rsidRDefault="00000000" w:rsidRPr="00000000" w14:paraId="0000007A">
      <w:pPr>
        <w:shd w:fill="ffffff" w:val="clear"/>
        <w:spacing w:after="160" w:lineRule="auto"/>
        <w:jc w:val="both"/>
        <w:rPr>
          <w:i w:val="1"/>
          <w:color w:val="428bca"/>
          <w:sz w:val="20"/>
          <w:szCs w:val="20"/>
        </w:rPr>
      </w:pPr>
      <w:r w:rsidDel="00000000" w:rsidR="00000000" w:rsidRPr="00000000">
        <w:rPr>
          <w:rtl w:val="0"/>
        </w:rPr>
      </w:r>
    </w:p>
    <w:p w:rsidR="00000000" w:rsidDel="00000000" w:rsidP="00000000" w:rsidRDefault="00000000" w:rsidRPr="00000000" w14:paraId="0000007B">
      <w:pPr>
        <w:shd w:fill="ffffff" w:val="clear"/>
        <w:spacing w:after="160" w:lineRule="auto"/>
        <w:jc w:val="both"/>
        <w:rPr>
          <w:i w:val="1"/>
          <w:color w:val="428bca"/>
          <w:sz w:val="20"/>
          <w:szCs w:val="20"/>
        </w:rPr>
      </w:pPr>
      <w:r w:rsidDel="00000000" w:rsidR="00000000" w:rsidRPr="00000000">
        <w:rPr>
          <w:rtl w:val="0"/>
        </w:rPr>
      </w:r>
    </w:p>
    <w:p w:rsidR="00000000" w:rsidDel="00000000" w:rsidP="00000000" w:rsidRDefault="00000000" w:rsidRPr="00000000" w14:paraId="0000007C">
      <w:pPr>
        <w:shd w:fill="ffffff" w:val="clear"/>
        <w:spacing w:after="160" w:lineRule="auto"/>
        <w:jc w:val="both"/>
        <w:rPr>
          <w:i w:val="1"/>
          <w:color w:val="428bca"/>
          <w:sz w:val="20"/>
          <w:szCs w:val="20"/>
        </w:rPr>
      </w:pPr>
      <w:r w:rsidDel="00000000" w:rsidR="00000000" w:rsidRPr="00000000">
        <w:rPr>
          <w:rtl w:val="0"/>
        </w:rPr>
      </w:r>
    </w:p>
    <w:p w:rsidR="00000000" w:rsidDel="00000000" w:rsidP="00000000" w:rsidRDefault="00000000" w:rsidRPr="00000000" w14:paraId="0000007D">
      <w:pPr>
        <w:shd w:fill="ffffff" w:val="clear"/>
        <w:spacing w:after="160" w:lineRule="auto"/>
        <w:jc w:val="both"/>
        <w:rPr>
          <w:i w:val="1"/>
          <w:color w:val="428bca"/>
          <w:sz w:val="20"/>
          <w:szCs w:val="20"/>
        </w:rPr>
      </w:pPr>
      <w:r w:rsidDel="00000000" w:rsidR="00000000" w:rsidRPr="00000000">
        <w:rPr>
          <w:rtl w:val="0"/>
        </w:rPr>
      </w:r>
    </w:p>
    <w:p w:rsidR="00000000" w:rsidDel="00000000" w:rsidP="00000000" w:rsidRDefault="00000000" w:rsidRPr="00000000" w14:paraId="0000007E">
      <w:pPr>
        <w:shd w:fill="ffffff" w:val="clear"/>
        <w:spacing w:after="160" w:lineRule="auto"/>
        <w:jc w:val="both"/>
        <w:rPr>
          <w:i w:val="1"/>
          <w:color w:val="428bca"/>
          <w:sz w:val="20"/>
          <w:szCs w:val="20"/>
        </w:rPr>
      </w:pPr>
      <w:r w:rsidDel="00000000" w:rsidR="00000000" w:rsidRPr="00000000">
        <w:rPr>
          <w:rtl w:val="0"/>
        </w:rPr>
      </w:r>
    </w:p>
    <w:p w:rsidR="00000000" w:rsidDel="00000000" w:rsidP="00000000" w:rsidRDefault="00000000" w:rsidRPr="00000000" w14:paraId="0000007F">
      <w:pPr>
        <w:shd w:fill="ffffff" w:val="clear"/>
        <w:jc w:val="both"/>
        <w:rPr>
          <w:color w:val="333333"/>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0">
      <w:pPr>
        <w:shd w:fill="ffffff" w:val="clear"/>
        <w:spacing w:after="160" w:lineRule="auto"/>
        <w:jc w:val="center"/>
        <w:rPr>
          <w:color w:val="a63212"/>
          <w:sz w:val="30"/>
          <w:szCs w:val="30"/>
        </w:rPr>
      </w:pPr>
      <w:r w:rsidDel="00000000" w:rsidR="00000000" w:rsidRPr="00000000">
        <w:rPr>
          <w:color w:val="a63212"/>
          <w:sz w:val="30"/>
          <w:szCs w:val="30"/>
          <w:rtl w:val="0"/>
        </w:rPr>
        <w:t xml:space="preserve">Making the Most of your HLPF</w:t>
      </w:r>
    </w:p>
    <w:p w:rsidR="00000000" w:rsidDel="00000000" w:rsidP="00000000" w:rsidRDefault="00000000" w:rsidRPr="00000000" w14:paraId="00000081">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82">
      <w:pPr>
        <w:shd w:fill="ffffff" w:val="clear"/>
        <w:spacing w:after="160" w:lineRule="auto"/>
        <w:jc w:val="both"/>
        <w:rPr>
          <w:color w:val="a63212"/>
          <w:sz w:val="30"/>
          <w:szCs w:val="30"/>
        </w:rPr>
      </w:pPr>
      <w:r w:rsidDel="00000000" w:rsidR="00000000" w:rsidRPr="00000000">
        <w:rPr>
          <w:color w:val="a63212"/>
          <w:sz w:val="30"/>
          <w:szCs w:val="30"/>
          <w:rtl w:val="0"/>
        </w:rPr>
        <w:t xml:space="preserve">Before the HLPF</w:t>
      </w:r>
    </w:p>
    <w:p w:rsidR="00000000" w:rsidDel="00000000" w:rsidP="00000000" w:rsidRDefault="00000000" w:rsidRPr="00000000" w14:paraId="00000083">
      <w:pPr>
        <w:numPr>
          <w:ilvl w:val="0"/>
          <w:numId w:val="3"/>
        </w:numPr>
        <w:spacing w:after="0" w:afterAutospacing="0" w:lineRule="auto"/>
        <w:ind w:left="720" w:hanging="360"/>
        <w:jc w:val="both"/>
        <w:rPr/>
      </w:pPr>
      <w:r w:rsidDel="00000000" w:rsidR="00000000" w:rsidRPr="00000000">
        <w:rPr>
          <w:color w:val="333333"/>
          <w:sz w:val="21"/>
          <w:szCs w:val="21"/>
          <w:rtl w:val="0"/>
        </w:rPr>
        <w:t xml:space="preserve">Identify national organizations who are doing work around the SDGs.</w:t>
      </w:r>
    </w:p>
    <w:p w:rsidR="00000000" w:rsidDel="00000000" w:rsidP="00000000" w:rsidRDefault="00000000" w:rsidRPr="00000000" w14:paraId="00000084">
      <w:pPr>
        <w:numPr>
          <w:ilvl w:val="0"/>
          <w:numId w:val="3"/>
        </w:numPr>
        <w:spacing w:after="0" w:afterAutospacing="0" w:lineRule="auto"/>
        <w:ind w:left="720" w:hanging="360"/>
        <w:jc w:val="both"/>
        <w:rPr/>
      </w:pPr>
      <w:r w:rsidDel="00000000" w:rsidR="00000000" w:rsidRPr="00000000">
        <w:rPr>
          <w:color w:val="333333"/>
          <w:sz w:val="21"/>
          <w:szCs w:val="21"/>
          <w:rtl w:val="0"/>
        </w:rPr>
        <w:t xml:space="preserve">Identify ministerial and inter-ministerial responsibility for SDGs in your government.</w:t>
      </w:r>
    </w:p>
    <w:p w:rsidR="00000000" w:rsidDel="00000000" w:rsidP="00000000" w:rsidRDefault="00000000" w:rsidRPr="00000000" w14:paraId="00000085">
      <w:pPr>
        <w:numPr>
          <w:ilvl w:val="0"/>
          <w:numId w:val="3"/>
        </w:numPr>
        <w:spacing w:after="0" w:afterAutospacing="0" w:lineRule="auto"/>
        <w:ind w:left="720" w:hanging="360"/>
        <w:jc w:val="both"/>
        <w:rPr/>
      </w:pPr>
      <w:r w:rsidDel="00000000" w:rsidR="00000000" w:rsidRPr="00000000">
        <w:rPr>
          <w:color w:val="333333"/>
          <w:sz w:val="21"/>
          <w:szCs w:val="21"/>
          <w:rtl w:val="0"/>
        </w:rPr>
        <w:t xml:space="preserve">Send them questions regarding:</w:t>
      </w:r>
    </w:p>
    <w:p w:rsidR="00000000" w:rsidDel="00000000" w:rsidP="00000000" w:rsidRDefault="00000000" w:rsidRPr="00000000" w14:paraId="00000086">
      <w:pPr>
        <w:numPr>
          <w:ilvl w:val="1"/>
          <w:numId w:val="3"/>
        </w:numPr>
        <w:spacing w:after="0" w:afterAutospacing="0" w:lineRule="auto"/>
        <w:ind w:left="1440" w:hanging="360"/>
        <w:jc w:val="both"/>
        <w:rPr/>
      </w:pPr>
      <w:r w:rsidDel="00000000" w:rsidR="00000000" w:rsidRPr="00000000">
        <w:rPr>
          <w:color w:val="333333"/>
          <w:sz w:val="21"/>
          <w:szCs w:val="21"/>
          <w:rtl w:val="0"/>
        </w:rPr>
        <w:t xml:space="preserve">Their SDG priorities</w:t>
      </w:r>
    </w:p>
    <w:p w:rsidR="00000000" w:rsidDel="00000000" w:rsidP="00000000" w:rsidRDefault="00000000" w:rsidRPr="00000000" w14:paraId="00000087">
      <w:pPr>
        <w:numPr>
          <w:ilvl w:val="1"/>
          <w:numId w:val="3"/>
        </w:numPr>
        <w:spacing w:after="0" w:afterAutospacing="0" w:lineRule="auto"/>
        <w:ind w:left="1440" w:hanging="360"/>
        <w:jc w:val="both"/>
        <w:rPr/>
      </w:pPr>
      <w:r w:rsidDel="00000000" w:rsidR="00000000" w:rsidRPr="00000000">
        <w:rPr>
          <w:color w:val="333333"/>
          <w:sz w:val="21"/>
          <w:szCs w:val="21"/>
          <w:rtl w:val="0"/>
        </w:rPr>
        <w:t xml:space="preserve">Your countries’ Voluntary National Review</w:t>
      </w:r>
    </w:p>
    <w:p w:rsidR="00000000" w:rsidDel="00000000" w:rsidP="00000000" w:rsidRDefault="00000000" w:rsidRPr="00000000" w14:paraId="00000088">
      <w:pPr>
        <w:numPr>
          <w:ilvl w:val="1"/>
          <w:numId w:val="3"/>
        </w:numPr>
        <w:spacing w:after="0" w:afterAutospacing="0" w:lineRule="auto"/>
        <w:ind w:left="1440" w:hanging="360"/>
        <w:jc w:val="both"/>
        <w:rPr/>
      </w:pPr>
      <w:r w:rsidDel="00000000" w:rsidR="00000000" w:rsidRPr="00000000">
        <w:rPr>
          <w:color w:val="333333"/>
          <w:sz w:val="21"/>
          <w:szCs w:val="21"/>
          <w:rtl w:val="0"/>
        </w:rPr>
        <w:t xml:space="preserve">LGBTI/SOGIESC inclusion in both</w:t>
      </w:r>
    </w:p>
    <w:p w:rsidR="00000000" w:rsidDel="00000000" w:rsidP="00000000" w:rsidRDefault="00000000" w:rsidRPr="00000000" w14:paraId="00000089">
      <w:pPr>
        <w:numPr>
          <w:ilvl w:val="0"/>
          <w:numId w:val="3"/>
        </w:numPr>
        <w:spacing w:after="0" w:afterAutospacing="0" w:lineRule="auto"/>
        <w:ind w:left="720" w:hanging="360"/>
        <w:jc w:val="both"/>
        <w:rPr/>
      </w:pPr>
      <w:r w:rsidDel="00000000" w:rsidR="00000000" w:rsidRPr="00000000">
        <w:rPr>
          <w:color w:val="333333"/>
          <w:sz w:val="21"/>
          <w:szCs w:val="21"/>
          <w:rtl w:val="0"/>
        </w:rPr>
        <w:t xml:space="preserve">Identify and advocate for the inclusion of best practice examples that include LGBTI people for your government’ VNR.</w:t>
      </w:r>
    </w:p>
    <w:p w:rsidR="00000000" w:rsidDel="00000000" w:rsidP="00000000" w:rsidRDefault="00000000" w:rsidRPr="00000000" w14:paraId="0000008A">
      <w:pPr>
        <w:numPr>
          <w:ilvl w:val="0"/>
          <w:numId w:val="3"/>
        </w:numPr>
        <w:spacing w:after="0" w:afterAutospacing="0" w:lineRule="auto"/>
        <w:ind w:left="720" w:hanging="360"/>
        <w:jc w:val="both"/>
        <w:rPr/>
      </w:pPr>
      <w:r w:rsidDel="00000000" w:rsidR="00000000" w:rsidRPr="00000000">
        <w:rPr>
          <w:color w:val="333333"/>
          <w:sz w:val="21"/>
          <w:szCs w:val="21"/>
          <w:rtl w:val="0"/>
        </w:rPr>
        <w:t xml:space="preserve">Map regional CSO consultations and arrange meetings with relevant stakeholder groups.</w:t>
      </w:r>
    </w:p>
    <w:p w:rsidR="00000000" w:rsidDel="00000000" w:rsidP="00000000" w:rsidRDefault="00000000" w:rsidRPr="00000000" w14:paraId="0000008B">
      <w:pPr>
        <w:numPr>
          <w:ilvl w:val="0"/>
          <w:numId w:val="3"/>
        </w:numPr>
        <w:spacing w:after="0" w:afterAutospacing="0" w:lineRule="auto"/>
        <w:ind w:left="720" w:hanging="360"/>
        <w:jc w:val="both"/>
        <w:rPr/>
      </w:pPr>
      <w:r w:rsidDel="00000000" w:rsidR="00000000" w:rsidRPr="00000000">
        <w:rPr>
          <w:color w:val="333333"/>
          <w:sz w:val="21"/>
          <w:szCs w:val="21"/>
          <w:rtl w:val="0"/>
        </w:rPr>
        <w:t xml:space="preserve">Find out about the HLPF delegation and key priorities and positions / priorities for the Ministerial Declaration.</w:t>
      </w:r>
    </w:p>
    <w:p w:rsidR="00000000" w:rsidDel="00000000" w:rsidP="00000000" w:rsidRDefault="00000000" w:rsidRPr="00000000" w14:paraId="0000008C">
      <w:pPr>
        <w:numPr>
          <w:ilvl w:val="0"/>
          <w:numId w:val="3"/>
        </w:numPr>
        <w:spacing w:after="160" w:lineRule="auto"/>
        <w:ind w:left="720" w:hanging="360"/>
        <w:jc w:val="both"/>
        <w:rPr/>
      </w:pPr>
      <w:r w:rsidDel="00000000" w:rsidR="00000000" w:rsidRPr="00000000">
        <w:rPr>
          <w:color w:val="333333"/>
          <w:sz w:val="21"/>
          <w:szCs w:val="21"/>
          <w:rtl w:val="0"/>
        </w:rPr>
        <w:t xml:space="preserve">Join the LGBTI Stakeholders Group and/or other Major and Other Stakeholders Groups.</w:t>
      </w:r>
    </w:p>
    <w:p w:rsidR="00000000" w:rsidDel="00000000" w:rsidP="00000000" w:rsidRDefault="00000000" w:rsidRPr="00000000" w14:paraId="0000008D">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8E">
      <w:pPr>
        <w:shd w:fill="ffffff" w:val="clear"/>
        <w:spacing w:after="160" w:lineRule="auto"/>
        <w:jc w:val="both"/>
        <w:rPr>
          <w:color w:val="a63212"/>
          <w:sz w:val="30"/>
          <w:szCs w:val="30"/>
        </w:rPr>
      </w:pPr>
      <w:r w:rsidDel="00000000" w:rsidR="00000000" w:rsidRPr="00000000">
        <w:rPr>
          <w:color w:val="a63212"/>
          <w:sz w:val="30"/>
          <w:szCs w:val="30"/>
          <w:rtl w:val="0"/>
        </w:rPr>
        <w:t xml:space="preserve">During the HLPF</w:t>
      </w:r>
    </w:p>
    <w:p w:rsidR="00000000" w:rsidDel="00000000" w:rsidP="00000000" w:rsidRDefault="00000000" w:rsidRPr="00000000" w14:paraId="0000008F">
      <w:pPr>
        <w:numPr>
          <w:ilvl w:val="0"/>
          <w:numId w:val="5"/>
        </w:numPr>
        <w:spacing w:after="0" w:afterAutospacing="0" w:lineRule="auto"/>
        <w:ind w:left="720" w:hanging="360"/>
        <w:jc w:val="both"/>
        <w:rPr/>
      </w:pPr>
      <w:r w:rsidDel="00000000" w:rsidR="00000000" w:rsidRPr="00000000">
        <w:rPr>
          <w:color w:val="333333"/>
          <w:sz w:val="21"/>
          <w:szCs w:val="21"/>
          <w:rtl w:val="0"/>
        </w:rPr>
        <w:t xml:space="preserve">Always relate your advocacy back to the SDGs and development.</w:t>
      </w:r>
    </w:p>
    <w:p w:rsidR="00000000" w:rsidDel="00000000" w:rsidP="00000000" w:rsidRDefault="00000000" w:rsidRPr="00000000" w14:paraId="00000090">
      <w:pPr>
        <w:numPr>
          <w:ilvl w:val="0"/>
          <w:numId w:val="5"/>
        </w:numPr>
        <w:spacing w:after="0" w:afterAutospacing="0" w:lineRule="auto"/>
        <w:ind w:left="720" w:hanging="360"/>
        <w:jc w:val="both"/>
        <w:rPr/>
      </w:pPr>
      <w:r w:rsidDel="00000000" w:rsidR="00000000" w:rsidRPr="00000000">
        <w:rPr>
          <w:color w:val="333333"/>
          <w:sz w:val="21"/>
          <w:szCs w:val="21"/>
          <w:rtl w:val="0"/>
        </w:rPr>
        <w:t xml:space="preserve">Align your advocacy with the 2020 entry points.</w:t>
      </w:r>
    </w:p>
    <w:p w:rsidR="00000000" w:rsidDel="00000000" w:rsidP="00000000" w:rsidRDefault="00000000" w:rsidRPr="00000000" w14:paraId="00000091">
      <w:pPr>
        <w:numPr>
          <w:ilvl w:val="0"/>
          <w:numId w:val="5"/>
        </w:numPr>
        <w:spacing w:after="0" w:afterAutospacing="0" w:lineRule="auto"/>
        <w:ind w:left="720" w:hanging="360"/>
        <w:jc w:val="both"/>
        <w:rPr/>
      </w:pPr>
      <w:r w:rsidDel="00000000" w:rsidR="00000000" w:rsidRPr="00000000">
        <w:rPr>
          <w:color w:val="333333"/>
          <w:sz w:val="21"/>
          <w:szCs w:val="21"/>
          <w:rtl w:val="0"/>
        </w:rPr>
        <w:t xml:space="preserve">Familiarize yourself with the VNRs that will be presented.</w:t>
      </w:r>
    </w:p>
    <w:p w:rsidR="00000000" w:rsidDel="00000000" w:rsidP="00000000" w:rsidRDefault="00000000" w:rsidRPr="00000000" w14:paraId="00000092">
      <w:pPr>
        <w:numPr>
          <w:ilvl w:val="0"/>
          <w:numId w:val="5"/>
        </w:numPr>
        <w:spacing w:after="0" w:afterAutospacing="0" w:lineRule="auto"/>
        <w:ind w:left="720" w:hanging="360"/>
        <w:jc w:val="both"/>
        <w:rPr/>
      </w:pPr>
      <w:r w:rsidDel="00000000" w:rsidR="00000000" w:rsidRPr="00000000">
        <w:rPr>
          <w:color w:val="333333"/>
          <w:sz w:val="21"/>
          <w:szCs w:val="21"/>
          <w:rtl w:val="0"/>
        </w:rPr>
        <w:t xml:space="preserve">Contact your New York based UN Mission representatives (the UN Bluebook for contact information is available).</w:t>
      </w:r>
    </w:p>
    <w:p w:rsidR="00000000" w:rsidDel="00000000" w:rsidP="00000000" w:rsidRDefault="00000000" w:rsidRPr="00000000" w14:paraId="00000093">
      <w:pPr>
        <w:numPr>
          <w:ilvl w:val="0"/>
          <w:numId w:val="5"/>
        </w:numPr>
        <w:spacing w:after="0" w:afterAutospacing="0" w:lineRule="auto"/>
        <w:ind w:left="720" w:hanging="360"/>
        <w:jc w:val="both"/>
        <w:rPr/>
      </w:pPr>
      <w:r w:rsidDel="00000000" w:rsidR="00000000" w:rsidRPr="00000000">
        <w:rPr>
          <w:color w:val="333333"/>
          <w:sz w:val="21"/>
          <w:szCs w:val="21"/>
          <w:rtl w:val="0"/>
        </w:rPr>
        <w:t xml:space="preserve">Send them questions regarding:</w:t>
      </w:r>
    </w:p>
    <w:p w:rsidR="00000000" w:rsidDel="00000000" w:rsidP="00000000" w:rsidRDefault="00000000" w:rsidRPr="00000000" w14:paraId="00000094">
      <w:pPr>
        <w:numPr>
          <w:ilvl w:val="1"/>
          <w:numId w:val="5"/>
        </w:numPr>
        <w:spacing w:after="0" w:afterAutospacing="0" w:lineRule="auto"/>
        <w:ind w:left="1440" w:hanging="360"/>
        <w:jc w:val="both"/>
        <w:rPr/>
      </w:pPr>
      <w:r w:rsidDel="00000000" w:rsidR="00000000" w:rsidRPr="00000000">
        <w:rPr>
          <w:color w:val="333333"/>
          <w:sz w:val="21"/>
          <w:szCs w:val="21"/>
          <w:rtl w:val="0"/>
        </w:rPr>
        <w:t xml:space="preserve">Their SDG priorities</w:t>
      </w:r>
    </w:p>
    <w:p w:rsidR="00000000" w:rsidDel="00000000" w:rsidP="00000000" w:rsidRDefault="00000000" w:rsidRPr="00000000" w14:paraId="00000095">
      <w:pPr>
        <w:numPr>
          <w:ilvl w:val="1"/>
          <w:numId w:val="5"/>
        </w:numPr>
        <w:spacing w:after="0" w:afterAutospacing="0" w:lineRule="auto"/>
        <w:ind w:left="1440" w:hanging="360"/>
        <w:jc w:val="both"/>
        <w:rPr/>
      </w:pPr>
      <w:r w:rsidDel="00000000" w:rsidR="00000000" w:rsidRPr="00000000">
        <w:rPr>
          <w:color w:val="333333"/>
          <w:sz w:val="21"/>
          <w:szCs w:val="21"/>
          <w:rtl w:val="0"/>
        </w:rPr>
        <w:t xml:space="preserve">Your countries’ Voluntary National Review</w:t>
      </w:r>
    </w:p>
    <w:p w:rsidR="00000000" w:rsidDel="00000000" w:rsidP="00000000" w:rsidRDefault="00000000" w:rsidRPr="00000000" w14:paraId="00000096">
      <w:pPr>
        <w:numPr>
          <w:ilvl w:val="1"/>
          <w:numId w:val="5"/>
        </w:numPr>
        <w:spacing w:after="160" w:lineRule="auto"/>
        <w:ind w:left="1440" w:hanging="360"/>
        <w:jc w:val="both"/>
        <w:rPr/>
      </w:pPr>
      <w:r w:rsidDel="00000000" w:rsidR="00000000" w:rsidRPr="00000000">
        <w:rPr>
          <w:color w:val="333333"/>
          <w:sz w:val="21"/>
          <w:szCs w:val="21"/>
          <w:rtl w:val="0"/>
        </w:rPr>
        <w:t xml:space="preserve">LGBTI/SOGIESC inclusion in both</w:t>
      </w:r>
    </w:p>
    <w:p w:rsidR="00000000" w:rsidDel="00000000" w:rsidP="00000000" w:rsidRDefault="00000000" w:rsidRPr="00000000" w14:paraId="00000097">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98">
      <w:pPr>
        <w:shd w:fill="ffffff" w:val="clear"/>
        <w:spacing w:after="160" w:lineRule="auto"/>
        <w:jc w:val="both"/>
        <w:rPr>
          <w:color w:val="a63212"/>
          <w:sz w:val="30"/>
          <w:szCs w:val="30"/>
        </w:rPr>
      </w:pPr>
      <w:r w:rsidDel="00000000" w:rsidR="00000000" w:rsidRPr="00000000">
        <w:rPr>
          <w:color w:val="a63212"/>
          <w:sz w:val="30"/>
          <w:szCs w:val="30"/>
          <w:rtl w:val="0"/>
        </w:rPr>
        <w:t xml:space="preserve">FURTHER READING</w:t>
      </w:r>
    </w:p>
    <w:p w:rsidR="00000000" w:rsidDel="00000000" w:rsidP="00000000" w:rsidRDefault="00000000" w:rsidRPr="00000000" w14:paraId="00000099">
      <w:pPr>
        <w:numPr>
          <w:ilvl w:val="0"/>
          <w:numId w:val="4"/>
        </w:numPr>
        <w:spacing w:after="0" w:afterAutospacing="0" w:lineRule="auto"/>
        <w:ind w:left="720" w:hanging="360"/>
        <w:jc w:val="both"/>
        <w:rPr>
          <w:color w:val="a63212"/>
        </w:rPr>
      </w:pPr>
      <w:r w:rsidDel="00000000" w:rsidR="00000000" w:rsidRPr="00000000">
        <w:rPr>
          <w:color w:val="a63212"/>
          <w:sz w:val="21"/>
          <w:szCs w:val="21"/>
          <w:rtl w:val="0"/>
        </w:rPr>
        <w:t xml:space="preserve">Main HLPF Website: </w:t>
      </w:r>
      <w:hyperlink r:id="rId27">
        <w:r w:rsidDel="00000000" w:rsidR="00000000" w:rsidRPr="00000000">
          <w:rPr>
            <w:color w:val="428bca"/>
            <w:sz w:val="21"/>
            <w:szCs w:val="21"/>
            <w:rtl w:val="0"/>
          </w:rPr>
          <w:t xml:space="preserve">https://sustainabledevelopment.un.org/hlpf</w:t>
        </w:r>
      </w:hyperlink>
      <w:r w:rsidDel="00000000" w:rsidR="00000000" w:rsidRPr="00000000">
        <w:rPr>
          <w:rtl w:val="0"/>
        </w:rPr>
      </w:r>
    </w:p>
    <w:p w:rsidR="00000000" w:rsidDel="00000000" w:rsidP="00000000" w:rsidRDefault="00000000" w:rsidRPr="00000000" w14:paraId="0000009A">
      <w:pPr>
        <w:numPr>
          <w:ilvl w:val="0"/>
          <w:numId w:val="4"/>
        </w:numPr>
        <w:spacing w:after="0" w:afterAutospacing="0" w:lineRule="auto"/>
        <w:ind w:left="720" w:hanging="360"/>
        <w:jc w:val="both"/>
        <w:rPr>
          <w:color w:val="a63212"/>
        </w:rPr>
      </w:pPr>
      <w:r w:rsidDel="00000000" w:rsidR="00000000" w:rsidRPr="00000000">
        <w:rPr>
          <w:color w:val="a63212"/>
          <w:sz w:val="21"/>
          <w:szCs w:val="21"/>
          <w:rtl w:val="0"/>
        </w:rPr>
        <w:t xml:space="preserve">List of Inputs by Major Groups and VNRs: </w:t>
      </w:r>
      <w:hyperlink r:id="rId28">
        <w:r w:rsidDel="00000000" w:rsidR="00000000" w:rsidRPr="00000000">
          <w:rPr>
            <w:color w:val="428bca"/>
            <w:sz w:val="21"/>
            <w:szCs w:val="21"/>
            <w:rtl w:val="0"/>
          </w:rPr>
          <w:t xml:space="preserve">https://sustainabledevelopment.un.org/inputs/</w:t>
        </w:r>
      </w:hyperlink>
      <w:r w:rsidDel="00000000" w:rsidR="00000000" w:rsidRPr="00000000">
        <w:rPr>
          <w:rtl w:val="0"/>
        </w:rPr>
      </w:r>
    </w:p>
    <w:p w:rsidR="00000000" w:rsidDel="00000000" w:rsidP="00000000" w:rsidRDefault="00000000" w:rsidRPr="00000000" w14:paraId="0000009B">
      <w:pPr>
        <w:numPr>
          <w:ilvl w:val="0"/>
          <w:numId w:val="4"/>
        </w:numPr>
        <w:spacing w:after="160" w:lineRule="auto"/>
        <w:ind w:left="720" w:hanging="360"/>
        <w:jc w:val="both"/>
        <w:rPr>
          <w:color w:val="a63212"/>
        </w:rPr>
      </w:pPr>
      <w:r w:rsidDel="00000000" w:rsidR="00000000" w:rsidRPr="00000000">
        <w:rPr>
          <w:color w:val="a63212"/>
          <w:sz w:val="21"/>
          <w:szCs w:val="21"/>
          <w:rtl w:val="0"/>
        </w:rPr>
        <w:t xml:space="preserve">Major Groups: </w:t>
      </w:r>
      <w:hyperlink r:id="rId29">
        <w:r w:rsidDel="00000000" w:rsidR="00000000" w:rsidRPr="00000000">
          <w:rPr>
            <w:color w:val="428bca"/>
            <w:sz w:val="21"/>
            <w:szCs w:val="21"/>
            <w:rtl w:val="0"/>
          </w:rPr>
          <w:t xml:space="preserve">https://sustainabledevelopment.un.org/mgos</w:t>
        </w:r>
      </w:hyperlink>
      <w:r w:rsidDel="00000000" w:rsidR="00000000" w:rsidRPr="00000000">
        <w:rPr>
          <w:rtl w:val="0"/>
        </w:rPr>
      </w:r>
    </w:p>
    <w:p w:rsidR="00000000" w:rsidDel="00000000" w:rsidP="00000000" w:rsidRDefault="00000000" w:rsidRPr="00000000" w14:paraId="0000009C">
      <w:pPr>
        <w:shd w:fill="ffffff" w:val="clear"/>
        <w:spacing w:after="160" w:lineRule="auto"/>
        <w:jc w:val="both"/>
        <w:rPr>
          <w:color w:val="a63212"/>
          <w:sz w:val="30"/>
          <w:szCs w:val="30"/>
        </w:rPr>
      </w:pPr>
      <w:r w:rsidDel="00000000" w:rsidR="00000000" w:rsidRPr="00000000">
        <w:rPr>
          <w:rtl w:val="0"/>
        </w:rPr>
      </w:r>
    </w:p>
    <w:p w:rsidR="00000000" w:rsidDel="00000000" w:rsidP="00000000" w:rsidRDefault="00000000" w:rsidRPr="00000000" w14:paraId="0000009D">
      <w:pPr>
        <w:shd w:fill="ffffff" w:val="clear"/>
        <w:spacing w:after="160" w:lineRule="auto"/>
        <w:jc w:val="both"/>
        <w:rPr>
          <w:color w:val="a63212"/>
          <w:sz w:val="30"/>
          <w:szCs w:val="30"/>
        </w:rPr>
      </w:pPr>
      <w:r w:rsidDel="00000000" w:rsidR="00000000" w:rsidRPr="00000000">
        <w:rPr>
          <w:color w:val="a63212"/>
          <w:sz w:val="30"/>
          <w:szCs w:val="30"/>
          <w:rtl w:val="0"/>
        </w:rPr>
        <w:t xml:space="preserve">History of the HLPF</w:t>
      </w:r>
    </w:p>
    <w:p w:rsidR="00000000" w:rsidDel="00000000" w:rsidP="00000000" w:rsidRDefault="00000000" w:rsidRPr="00000000" w14:paraId="0000009E">
      <w:pPr>
        <w:numPr>
          <w:ilvl w:val="0"/>
          <w:numId w:val="7"/>
        </w:numPr>
        <w:spacing w:after="0" w:afterAutospacing="0" w:lineRule="auto"/>
        <w:ind w:left="720" w:hanging="360"/>
        <w:jc w:val="both"/>
        <w:rPr>
          <w:color w:val="a63212"/>
        </w:rPr>
      </w:pPr>
      <w:hyperlink r:id="rId30">
        <w:r w:rsidDel="00000000" w:rsidR="00000000" w:rsidRPr="00000000">
          <w:rPr>
            <w:color w:val="428bca"/>
            <w:sz w:val="21"/>
            <w:szCs w:val="21"/>
            <w:rtl w:val="0"/>
          </w:rPr>
          <w:t xml:space="preserve">https://sustainabledevelopment.un.org/intergovernmental/csd</w:t>
        </w:r>
      </w:hyperlink>
      <w:r w:rsidDel="00000000" w:rsidR="00000000" w:rsidRPr="00000000">
        <w:rPr>
          <w:rtl w:val="0"/>
        </w:rPr>
      </w:r>
    </w:p>
    <w:p w:rsidR="00000000" w:rsidDel="00000000" w:rsidP="00000000" w:rsidRDefault="00000000" w:rsidRPr="00000000" w14:paraId="0000009F">
      <w:pPr>
        <w:numPr>
          <w:ilvl w:val="0"/>
          <w:numId w:val="7"/>
        </w:numPr>
        <w:spacing w:after="160" w:lineRule="auto"/>
        <w:ind w:left="720" w:hanging="360"/>
        <w:jc w:val="both"/>
        <w:rPr>
          <w:color w:val="a63212"/>
        </w:rPr>
      </w:pPr>
      <w:hyperlink r:id="rId31">
        <w:r w:rsidDel="00000000" w:rsidR="00000000" w:rsidRPr="00000000">
          <w:rPr>
            <w:color w:val="428bca"/>
            <w:sz w:val="21"/>
            <w:szCs w:val="21"/>
            <w:rtl w:val="0"/>
          </w:rPr>
          <w:t xml:space="preserve">https://sustainabledevelopment.un.org/rio20</w:t>
        </w:r>
      </w:hyperlink>
      <w:r w:rsidDel="00000000" w:rsidR="00000000" w:rsidRPr="00000000">
        <w:rPr>
          <w:rtl w:val="0"/>
        </w:rPr>
      </w:r>
    </w:p>
    <w:p w:rsidR="00000000" w:rsidDel="00000000" w:rsidP="00000000" w:rsidRDefault="00000000" w:rsidRPr="00000000" w14:paraId="000000A0">
      <w:pPr>
        <w:jc w:val="both"/>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color w:val="333333"/>
        <w:sz w:val="21"/>
        <w:szCs w:val="21"/>
        <w:u w:val="none"/>
      </w:rPr>
    </w:lvl>
    <w:lvl w:ilvl="1">
      <w:start w:val="1"/>
      <w:numFmt w:val="bullet"/>
      <w:lvlText w:val="○"/>
      <w:lvlJc w:val="left"/>
      <w:pPr>
        <w:ind w:left="1440" w:hanging="360"/>
      </w:pPr>
      <w:rPr>
        <w:rFonts w:ascii="Arial" w:cs="Arial" w:eastAsia="Arial" w:hAnsi="Arial"/>
        <w:color w:val="333333"/>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Arial" w:cs="Arial" w:eastAsia="Arial" w:hAnsi="Arial"/>
        <w:color w:val="333333"/>
        <w:sz w:val="21"/>
        <w:szCs w:val="21"/>
        <w:u w:val="none"/>
      </w:rPr>
    </w:lvl>
    <w:lvl w:ilvl="1">
      <w:start w:val="1"/>
      <w:numFmt w:val="bullet"/>
      <w:lvlText w:val="○"/>
      <w:lvlJc w:val="left"/>
      <w:pPr>
        <w:ind w:left="1440" w:hanging="360"/>
      </w:pPr>
      <w:rPr>
        <w:rFonts w:ascii="Arial" w:cs="Arial" w:eastAsia="Arial" w:hAnsi="Arial"/>
        <w:color w:val="333333"/>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outrightinternational.org/sites/default/files/factSheetsRevised.pdf" TargetMode="External"/><Relationship Id="rId22" Type="http://schemas.openxmlformats.org/officeDocument/2006/relationships/image" Target="media/image3.png"/><Relationship Id="rId21" Type="http://schemas.openxmlformats.org/officeDocument/2006/relationships/hyperlink" Target="https://outrightinternational.org/sites/default/files/sdg2030_05052017_0.pdf" TargetMode="External"/><Relationship Id="rId24" Type="http://schemas.openxmlformats.org/officeDocument/2006/relationships/hyperlink" Target="https://forms.gle/2J13MEnuqraENW6P6" TargetMode="External"/><Relationship Id="rId23" Type="http://schemas.openxmlformats.org/officeDocument/2006/relationships/hyperlink" Target="https://www.rfsl.se/wp-content/uploads/2018/11/RFSL_Guiding-Principles_final_digital.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ustainabledevelopment.un.org/mgos" TargetMode="External"/><Relationship Id="rId26" Type="http://schemas.openxmlformats.org/officeDocument/2006/relationships/hyperlink" Target="https://sustainabledevelopment.un.org/hlpf/2020#other" TargetMode="External"/><Relationship Id="rId25" Type="http://schemas.openxmlformats.org/officeDocument/2006/relationships/hyperlink" Target="https://lgbti-stakeholder-group.jimdosite.com/news/" TargetMode="External"/><Relationship Id="rId28" Type="http://schemas.openxmlformats.org/officeDocument/2006/relationships/hyperlink" Target="https://sustainabledevelopment.un.org/inputs/" TargetMode="External"/><Relationship Id="rId27" Type="http://schemas.openxmlformats.org/officeDocument/2006/relationships/hyperlink" Target="https://sustainabledevelopment.un.org/hlpf" TargetMode="External"/><Relationship Id="rId5" Type="http://schemas.openxmlformats.org/officeDocument/2006/relationships/styles" Target="styles.xml"/><Relationship Id="rId6" Type="http://schemas.openxmlformats.org/officeDocument/2006/relationships/hyperlink" Target="https://sustainabledevelopment.un.org/hlpf/2020#programme" TargetMode="External"/><Relationship Id="rId29" Type="http://schemas.openxmlformats.org/officeDocument/2006/relationships/hyperlink" Target="https://sustainabledevelopment.un.org/mgos" TargetMode="External"/><Relationship Id="rId7" Type="http://schemas.openxmlformats.org/officeDocument/2006/relationships/hyperlink" Target="https://sustainabledevelopment.un.org/content/documents/26157HLPF_2020_PROGRAMME.pdf" TargetMode="External"/><Relationship Id="rId8" Type="http://schemas.openxmlformats.org/officeDocument/2006/relationships/hyperlink" Target="http://webtv.un.org/" TargetMode="External"/><Relationship Id="rId31" Type="http://schemas.openxmlformats.org/officeDocument/2006/relationships/hyperlink" Target="https://sustainabledevelopment.un.org/rio20" TargetMode="External"/><Relationship Id="rId30" Type="http://schemas.openxmlformats.org/officeDocument/2006/relationships/hyperlink" Target="https://sustainabledevelopment.un.org/intergovernmental/csd" TargetMode="External"/><Relationship Id="rId11" Type="http://schemas.openxmlformats.org/officeDocument/2006/relationships/hyperlink" Target="https://www.un.org/en/development/desa/population/migration/generalassembly/docs/globalcompact/A_CONF.151_26_Vol.I_Declaration.pdf" TargetMode="External"/><Relationship Id="rId10" Type="http://schemas.openxmlformats.org/officeDocument/2006/relationships/hyperlink" Target="https://sustainabledevelopment.un.org/content/documents/22610Process_for_MGoS_engagement_in_the_VNR_Sessions_FINAL2.05.2019.pdf" TargetMode="External"/><Relationship Id="rId13" Type="http://schemas.openxmlformats.org/officeDocument/2006/relationships/image" Target="media/image2.jpg"/><Relationship Id="rId12" Type="http://schemas.openxmlformats.org/officeDocument/2006/relationships/hyperlink" Target="https://www.un.org/esa/sustdev/documents/WSSD_POI_PD/English/WSSD_PlanImpl.pdf" TargetMode="External"/><Relationship Id="rId15" Type="http://schemas.openxmlformats.org/officeDocument/2006/relationships/hyperlink" Target="https://sustainabledevelopment.un.org/hlpf" TargetMode="External"/><Relationship Id="rId14" Type="http://schemas.openxmlformats.org/officeDocument/2006/relationships/hyperlink" Target="https://www.youtube.com/watch?v=0XTBYMfZyrM&amp;feature=emb_title" TargetMode="External"/><Relationship Id="rId17" Type="http://schemas.openxmlformats.org/officeDocument/2006/relationships/hyperlink" Target="https://sustainabledevelopment.un.org/content/documents/25245Handbook_2020_EN.pdf" TargetMode="External"/><Relationship Id="rId16" Type="http://schemas.openxmlformats.org/officeDocument/2006/relationships/hyperlink" Target="https://sustainabledevelopment.un.org/vnrs/" TargetMode="External"/><Relationship Id="rId19" Type="http://schemas.openxmlformats.org/officeDocument/2006/relationships/image" Target="media/image1.png"/><Relationship Id="rId18" Type="http://schemas.openxmlformats.org/officeDocument/2006/relationships/hyperlink" Target="https://sustainabledevelopment.un.org/hlpf/2019#vn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